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29B4D" w14:textId="76A37F2C" w:rsidR="00FE6D82" w:rsidRPr="00124BD6" w:rsidRDefault="00FA75EE" w:rsidP="00124BD6">
      <w:pPr>
        <w:pStyle w:val="Heading2"/>
        <w:spacing w:line="360" w:lineRule="auto"/>
        <w:jc w:val="center"/>
        <w:rPr>
          <w:i w:val="0"/>
          <w:sz w:val="32"/>
          <w:szCs w:val="32"/>
        </w:rPr>
      </w:pPr>
      <w:bookmarkStart w:id="0" w:name="_Hlk30017878"/>
      <w:r>
        <w:rPr>
          <w:i w:val="0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0ACAD31" wp14:editId="7952C453">
            <wp:simplePos x="0" y="0"/>
            <wp:positionH relativeFrom="margin">
              <wp:align>right</wp:align>
            </wp:positionH>
            <wp:positionV relativeFrom="margin">
              <wp:posOffset>-123825</wp:posOffset>
            </wp:positionV>
            <wp:extent cx="1408430" cy="80010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4BD6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7DDEE3F" wp14:editId="41DFFA78">
            <wp:simplePos x="0" y="0"/>
            <wp:positionH relativeFrom="margin">
              <wp:align>left</wp:align>
            </wp:positionH>
            <wp:positionV relativeFrom="margin">
              <wp:posOffset>161290</wp:posOffset>
            </wp:positionV>
            <wp:extent cx="1828800" cy="419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C4144E" w14:textId="77777777" w:rsidR="00FE6D82" w:rsidRPr="00124BD6" w:rsidRDefault="00FE6D82" w:rsidP="00124BD6">
      <w:pPr>
        <w:pStyle w:val="Heading2"/>
        <w:spacing w:line="360" w:lineRule="auto"/>
        <w:jc w:val="center"/>
        <w:rPr>
          <w:i w:val="0"/>
          <w:sz w:val="32"/>
          <w:szCs w:val="32"/>
        </w:rPr>
      </w:pPr>
    </w:p>
    <w:p w14:paraId="5D93E153" w14:textId="77777777" w:rsidR="007C48E1" w:rsidRPr="00124BD6" w:rsidRDefault="007C48E1" w:rsidP="00124BD6">
      <w:pPr>
        <w:pStyle w:val="Heading2"/>
        <w:spacing w:line="360" w:lineRule="auto"/>
        <w:jc w:val="center"/>
        <w:rPr>
          <w:i w:val="0"/>
          <w:sz w:val="32"/>
          <w:szCs w:val="32"/>
          <w:lang w:val="ru-RU"/>
        </w:rPr>
      </w:pPr>
      <w:r w:rsidRPr="00124BD6">
        <w:rPr>
          <w:i w:val="0"/>
          <w:sz w:val="32"/>
          <w:szCs w:val="32"/>
          <w:lang w:val="ru-RU"/>
        </w:rPr>
        <w:t xml:space="preserve">ТЕХНИЧЕСКОЕ ЗАДАНИЕ </w:t>
      </w:r>
    </w:p>
    <w:p w14:paraId="0D3809EB" w14:textId="77777777" w:rsidR="007C48E1" w:rsidRPr="00124BD6" w:rsidRDefault="007C48E1" w:rsidP="00124BD6">
      <w:pPr>
        <w:pStyle w:val="Heading2"/>
        <w:spacing w:line="360" w:lineRule="auto"/>
        <w:jc w:val="center"/>
        <w:rPr>
          <w:sz w:val="32"/>
          <w:szCs w:val="32"/>
          <w:lang w:val="ru-RU"/>
        </w:rPr>
      </w:pPr>
      <w:bookmarkStart w:id="1" w:name="_GoBack"/>
      <w:bookmarkEnd w:id="1"/>
    </w:p>
    <w:p w14:paraId="39E12AE7" w14:textId="474B43F7" w:rsidR="007C48E1" w:rsidRPr="00124BD6" w:rsidRDefault="007C48E1" w:rsidP="00124BD6">
      <w:pPr>
        <w:pStyle w:val="Heading2"/>
        <w:tabs>
          <w:tab w:val="left" w:pos="5940"/>
          <w:tab w:val="left" w:pos="6120"/>
        </w:tabs>
        <w:spacing w:line="360" w:lineRule="auto"/>
        <w:ind w:left="540" w:right="540"/>
        <w:jc w:val="center"/>
        <w:rPr>
          <w:sz w:val="32"/>
          <w:szCs w:val="32"/>
          <w:lang w:val="ru-RU"/>
        </w:rPr>
      </w:pPr>
      <w:r w:rsidRPr="00124BD6">
        <w:rPr>
          <w:sz w:val="32"/>
          <w:szCs w:val="32"/>
          <w:lang w:val="ru-RU"/>
        </w:rPr>
        <w:t>Конкурс для привлечения консультанта/группы консультантов для разработки электронного курса «</w:t>
      </w:r>
      <w:r w:rsidR="00C72A1F">
        <w:rPr>
          <w:sz w:val="32"/>
          <w:szCs w:val="32"/>
          <w:lang w:val="ru-RU"/>
        </w:rPr>
        <w:t>ТБ и миграция</w:t>
      </w:r>
      <w:r w:rsidRPr="00124BD6">
        <w:rPr>
          <w:sz w:val="32"/>
          <w:szCs w:val="32"/>
          <w:lang w:val="ru-RU"/>
        </w:rPr>
        <w:t xml:space="preserve">» </w:t>
      </w:r>
    </w:p>
    <w:p w14:paraId="7B3F9D1E" w14:textId="41DEAADB" w:rsidR="00051728" w:rsidRPr="00903D41" w:rsidRDefault="00051728" w:rsidP="00124BD6">
      <w:pPr>
        <w:spacing w:line="360" w:lineRule="auto"/>
        <w:rPr>
          <w:rFonts w:ascii="Cambria" w:hAnsi="Cambria"/>
          <w:b/>
          <w:color w:val="000000"/>
          <w:lang w:val="ru-RU"/>
        </w:rPr>
      </w:pPr>
      <w:bookmarkStart w:id="2" w:name="_Hlk30017737"/>
    </w:p>
    <w:bookmarkEnd w:id="2"/>
    <w:p w14:paraId="332DB64B" w14:textId="48A85014" w:rsidR="007C48E1" w:rsidRPr="00124BD6" w:rsidRDefault="007C48E1" w:rsidP="00AC5B06">
      <w:pPr>
        <w:pStyle w:val="ListParagraph"/>
        <w:numPr>
          <w:ilvl w:val="0"/>
          <w:numId w:val="11"/>
        </w:numPr>
        <w:spacing w:before="480" w:after="480"/>
        <w:contextualSpacing w:val="0"/>
        <w:jc w:val="both"/>
        <w:rPr>
          <w:rFonts w:ascii="Cambria" w:eastAsia="Calibri" w:hAnsi="Cambria"/>
          <w:b/>
          <w:bCs/>
          <w:kern w:val="32"/>
          <w:lang w:val="ru-RU"/>
        </w:rPr>
      </w:pPr>
      <w:r w:rsidRPr="00124BD6">
        <w:rPr>
          <w:rFonts w:ascii="Cambria" w:eastAsia="Calibri" w:hAnsi="Cambria"/>
          <w:b/>
          <w:bCs/>
          <w:kern w:val="32"/>
          <w:lang w:val="ru-RU"/>
        </w:rPr>
        <w:t>Описание</w:t>
      </w:r>
    </w:p>
    <w:p w14:paraId="461068B8" w14:textId="77777777" w:rsidR="007C48E1" w:rsidRPr="00124BD6" w:rsidRDefault="007C48E1" w:rsidP="00AC5B06">
      <w:pPr>
        <w:spacing w:after="240" w:line="360" w:lineRule="auto"/>
        <w:jc w:val="both"/>
        <w:rPr>
          <w:rFonts w:ascii="Cambria" w:hAnsi="Cambria"/>
          <w:lang w:val="ru-RU"/>
        </w:rPr>
      </w:pPr>
      <w:r w:rsidRPr="00124BD6">
        <w:rPr>
          <w:rFonts w:ascii="Cambria" w:hAnsi="Cambria"/>
          <w:lang w:val="ru-RU"/>
        </w:rPr>
        <w:t>Несмотря на снижение количества новых случаев туберкулеза в мире с 2005 года, бремя ТБ в Восточной Европе и Центральной Азии (ВЕЦА) все еще остается высоким, а количество случаев с множественной лекарственной устойчивостью (МЛУ-ТБ) и широко лекарственной устойчивостью (ШЛУ-ТБ) растет.</w:t>
      </w:r>
      <w:r w:rsidRPr="00124BD6">
        <w:rPr>
          <w:rFonts w:ascii="Cambria" w:eastAsia="Calibri" w:hAnsi="Cambria"/>
          <w:color w:val="000000"/>
          <w:vertAlign w:val="superscript"/>
          <w:lang w:val="ru-RU"/>
        </w:rPr>
        <w:footnoteReference w:id="1"/>
      </w:r>
      <w:r w:rsidRPr="00124BD6">
        <w:rPr>
          <w:rFonts w:ascii="Cambria" w:hAnsi="Cambria"/>
          <w:lang w:val="ru-RU"/>
        </w:rPr>
        <w:t xml:space="preserve"> Одной из мер эффективной борьбы с эпидемией туберкулеза с целью ее окончательной элиминации является обучение, с тем чтобы все заинтересованные стороны, участвующие в борьбе с этим заболеванием, обрели глубокие познания и навыки в области диагностики и лечения туберкулеза, ухода и поддержки пациентов.</w:t>
      </w:r>
    </w:p>
    <w:p w14:paraId="1E8858C9" w14:textId="2408A3B1" w:rsidR="007C48E1" w:rsidRPr="00124BD6" w:rsidRDefault="007C48E1" w:rsidP="00AC5B06">
      <w:pPr>
        <w:tabs>
          <w:tab w:val="left" w:pos="4140"/>
        </w:tabs>
        <w:spacing w:after="240" w:line="360" w:lineRule="auto"/>
        <w:jc w:val="both"/>
        <w:rPr>
          <w:rFonts w:ascii="Cambria" w:hAnsi="Cambria"/>
          <w:lang w:val="ru-RU"/>
        </w:rPr>
      </w:pPr>
      <w:r w:rsidRPr="00124BD6">
        <w:rPr>
          <w:rFonts w:ascii="Cambria" w:hAnsi="Cambria"/>
          <w:lang w:val="ru-RU"/>
        </w:rPr>
        <w:t xml:space="preserve">В целях укрепления общественной системы путем наращивания потенциала сообщества и поставщиков услуг из числа гражданского общества и предоставления им высококачественного обучения по целому ряду тем, связанных с туберкулезом, </w:t>
      </w:r>
      <w:r w:rsidR="00C86A93" w:rsidRPr="00C86A93">
        <w:rPr>
          <w:rFonts w:ascii="Cambria" w:hAnsi="Cambria"/>
          <w:lang w:val="ru-RU"/>
        </w:rPr>
        <w:t xml:space="preserve">«TBpeople» </w:t>
      </w:r>
      <w:r w:rsidRPr="00124BD6">
        <w:rPr>
          <w:rFonts w:ascii="Cambria" w:hAnsi="Cambria"/>
          <w:lang w:val="ru-RU"/>
        </w:rPr>
        <w:t xml:space="preserve">совместно со своим партнером по внедрению </w:t>
      </w:r>
      <w:r w:rsidR="00C86A93" w:rsidRPr="00C86A93">
        <w:rPr>
          <w:rFonts w:ascii="Cambria" w:hAnsi="Cambria"/>
          <w:lang w:val="ru-RU"/>
        </w:rPr>
        <w:t xml:space="preserve">Центр PAS </w:t>
      </w:r>
      <w:r w:rsidRPr="00124BD6">
        <w:rPr>
          <w:rFonts w:ascii="Cambria" w:hAnsi="Cambria"/>
          <w:lang w:val="ru-RU"/>
        </w:rPr>
        <w:t xml:space="preserve">намерен разработать платформу для электронного обучения (далее «Платформа»), условно </w:t>
      </w:r>
      <w:r w:rsidRPr="00124BD6">
        <w:rPr>
          <w:rFonts w:ascii="Cambria" w:hAnsi="Cambria"/>
          <w:lang w:val="ru-RU"/>
        </w:rPr>
        <w:lastRenderedPageBreak/>
        <w:t xml:space="preserve">именуемую «TEACH ME TB» («Просветите меня о туберкулезе»). Платформа электронного обучения «TEACH ME TB» будет способствовать наращиванию потенциала широкого круга участников, занимающихся продвижением и предоставлением услуг по борьбе с туберкулезом,  обеспечив интерактивное, основанное на фактических данных обучение по всем темам, связанным с туберкулезом, включая профилактику, диагностику и лечение, уход и поддержку пациентов, права человека, комплексную помощь, ориентированную на потребности человека, адвокацию, коммуникацию, повышение осведомленности, предоставление услуг и т. д. Важно отметить, что обучение всех целевых групп будет проводиться с использованием легкодоступных методов и с использованием видеолекций, материалов для чтения и практических упражнений. </w:t>
      </w:r>
    </w:p>
    <w:p w14:paraId="67D390F3" w14:textId="77777777" w:rsidR="007C48E1" w:rsidRPr="00124BD6" w:rsidRDefault="007C48E1" w:rsidP="00AC5B06">
      <w:pPr>
        <w:spacing w:after="240" w:line="360" w:lineRule="auto"/>
        <w:jc w:val="both"/>
        <w:rPr>
          <w:rFonts w:ascii="Cambria" w:hAnsi="Cambria"/>
          <w:lang w:val="ru-RU"/>
        </w:rPr>
      </w:pPr>
      <w:r w:rsidRPr="00124BD6">
        <w:rPr>
          <w:rFonts w:ascii="Cambria" w:hAnsi="Cambria"/>
          <w:lang w:val="ru-RU"/>
        </w:rPr>
        <w:t xml:space="preserve">Платформа электронного обучения будет создана в рамках проекта TB-REP2.0. </w:t>
      </w:r>
    </w:p>
    <w:p w14:paraId="33C255AF" w14:textId="2B8E6BA9" w:rsidR="007C48E1" w:rsidRPr="00124BD6" w:rsidRDefault="007C48E1" w:rsidP="00AC5B06">
      <w:pPr>
        <w:spacing w:after="240" w:line="360" w:lineRule="auto"/>
        <w:jc w:val="both"/>
        <w:rPr>
          <w:rFonts w:ascii="Cambria" w:hAnsi="Cambria"/>
          <w:lang w:val="ru-RU"/>
        </w:rPr>
      </w:pPr>
      <w:r w:rsidRPr="00124BD6">
        <w:rPr>
          <w:rFonts w:ascii="Cambria" w:hAnsi="Cambria"/>
          <w:b/>
          <w:i/>
          <w:color w:val="000000"/>
          <w:lang w:val="ru-RU"/>
        </w:rPr>
        <w:t>Сеть «TBpeople»</w:t>
      </w:r>
      <w:r w:rsidRPr="00124BD6">
        <w:rPr>
          <w:rFonts w:ascii="Cambria" w:hAnsi="Cambria"/>
          <w:lang w:val="ru-RU"/>
        </w:rPr>
        <w:t xml:space="preserve"> – это сеть людей, затронутых туберкулезом, зарегистрированная в Грузии в 2017 году как некоммерческое юридическое лицо. Руководствуясь своим видением («Мир, свободный от туберкулеза») и миссией («Объедини</w:t>
      </w:r>
      <w:r w:rsidR="00DB49AA" w:rsidRPr="00DB49AA">
        <w:rPr>
          <w:rFonts w:ascii="Cambria" w:hAnsi="Cambria"/>
          <w:lang w:val="ru-RU"/>
        </w:rPr>
        <w:t>ть</w:t>
      </w:r>
      <w:r w:rsidR="00DB49AA">
        <w:rPr>
          <w:rFonts w:ascii="Cambria" w:hAnsi="Cambria"/>
          <w:lang w:val="ru-RU"/>
        </w:rPr>
        <w:t xml:space="preserve"> людей, победить</w:t>
      </w:r>
      <w:r w:rsidRPr="00124BD6">
        <w:rPr>
          <w:rFonts w:ascii="Cambria" w:hAnsi="Cambria"/>
          <w:lang w:val="ru-RU"/>
        </w:rPr>
        <w:t xml:space="preserve"> туберкулез»). Сеть «TBpeople» стремится расширять возможности своих членов, увеличивать финансирование борьбы с туберкулезом на международном и национальном уровнях, продвигать новые технологии в области профилактики, диагностики и лечения этого заболевания, ухода и поддержки пациентов, а также защищать права человека и уменьшать стигму и дискриминацию в отношении людей, затронутых туберкулезом.</w:t>
      </w:r>
    </w:p>
    <w:p w14:paraId="425D6139" w14:textId="77777777" w:rsidR="00FA029F" w:rsidRPr="00124BD6" w:rsidRDefault="00FA029F" w:rsidP="00AC5B06">
      <w:pPr>
        <w:pStyle w:val="ListParagraph"/>
        <w:numPr>
          <w:ilvl w:val="0"/>
          <w:numId w:val="11"/>
        </w:numPr>
        <w:spacing w:before="480" w:after="480" w:line="360" w:lineRule="auto"/>
        <w:contextualSpacing w:val="0"/>
        <w:jc w:val="both"/>
        <w:rPr>
          <w:rFonts w:ascii="Cambria" w:eastAsia="Calibri" w:hAnsi="Cambria"/>
          <w:b/>
          <w:bCs/>
          <w:kern w:val="32"/>
          <w:lang w:val="ru-RU"/>
        </w:rPr>
      </w:pPr>
      <w:r w:rsidRPr="00124BD6">
        <w:rPr>
          <w:rFonts w:ascii="Cambria" w:eastAsia="Calibri" w:hAnsi="Cambria"/>
          <w:b/>
          <w:bCs/>
          <w:kern w:val="32"/>
          <w:lang w:val="ru-RU"/>
        </w:rPr>
        <w:t>Объем работы:</w:t>
      </w:r>
    </w:p>
    <w:p w14:paraId="439E19AB" w14:textId="5C97F4ED" w:rsidR="00FA029F" w:rsidRPr="00903D41" w:rsidRDefault="00FA029F" w:rsidP="00AC5B06">
      <w:pPr>
        <w:spacing w:after="240" w:line="360" w:lineRule="auto"/>
        <w:jc w:val="both"/>
        <w:rPr>
          <w:rFonts w:ascii="Cambria" w:hAnsi="Cambria"/>
          <w:lang w:val="ru-RU"/>
        </w:rPr>
      </w:pPr>
      <w:r w:rsidRPr="00124BD6">
        <w:rPr>
          <w:rFonts w:ascii="Cambria" w:hAnsi="Cambria"/>
          <w:lang w:val="ru-RU"/>
        </w:rPr>
        <w:t>Сеть «TBpeople» намерена заключить контракт с консультантом/группой консультантов на планирование, разработку и внедрение курса «</w:t>
      </w:r>
      <w:r w:rsidR="00C72A1F">
        <w:rPr>
          <w:rFonts w:ascii="Cambria" w:hAnsi="Cambria"/>
          <w:lang w:val="ru-RU"/>
        </w:rPr>
        <w:t>ТБ и миграция</w:t>
      </w:r>
      <w:r w:rsidRPr="00124BD6">
        <w:rPr>
          <w:rFonts w:ascii="Cambria" w:hAnsi="Cambria"/>
          <w:lang w:val="ru-RU"/>
        </w:rPr>
        <w:t>», который будет загружен на платформу</w:t>
      </w:r>
      <w:r w:rsidRPr="00903D41">
        <w:rPr>
          <w:rFonts w:ascii="Cambria" w:hAnsi="Cambria"/>
          <w:lang w:val="ru-RU"/>
        </w:rPr>
        <w:t xml:space="preserve"> электронного обучения.</w:t>
      </w:r>
    </w:p>
    <w:p w14:paraId="065C396B" w14:textId="77777777" w:rsidR="00FA029F" w:rsidRPr="00124BD6" w:rsidRDefault="00FA029F" w:rsidP="00AC5B06">
      <w:pPr>
        <w:spacing w:line="360" w:lineRule="auto"/>
        <w:jc w:val="both"/>
        <w:rPr>
          <w:rFonts w:ascii="Cambria" w:eastAsia="Calibri" w:hAnsi="Cambria"/>
          <w:b/>
          <w:color w:val="000000"/>
          <w:lang w:val="ru-RU"/>
        </w:rPr>
      </w:pPr>
      <w:r w:rsidRPr="00124BD6">
        <w:rPr>
          <w:rFonts w:ascii="Cambria" w:eastAsia="Calibri" w:hAnsi="Cambria"/>
          <w:b/>
          <w:color w:val="000000"/>
          <w:lang w:val="ru-RU"/>
        </w:rPr>
        <w:t>Целевыми группами курса являются:</w:t>
      </w:r>
    </w:p>
    <w:p w14:paraId="78F39FD7" w14:textId="77777777" w:rsidR="00FA029F" w:rsidRPr="00124BD6" w:rsidRDefault="00FA029F" w:rsidP="00AC5B06">
      <w:pPr>
        <w:numPr>
          <w:ilvl w:val="0"/>
          <w:numId w:val="3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 xml:space="preserve">Люди, больные и затронутые туберкулезом </w:t>
      </w:r>
    </w:p>
    <w:p w14:paraId="35480653" w14:textId="77777777" w:rsidR="00FA029F" w:rsidRPr="00124BD6" w:rsidRDefault="00FA029F" w:rsidP="00AC5B06">
      <w:pPr>
        <w:numPr>
          <w:ilvl w:val="0"/>
          <w:numId w:val="3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Активисты, представители ТБ-сообществ</w:t>
      </w:r>
    </w:p>
    <w:p w14:paraId="27276483" w14:textId="77777777" w:rsidR="00FA029F" w:rsidRPr="00124BD6" w:rsidRDefault="00FA029F" w:rsidP="00AC5B06">
      <w:pPr>
        <w:numPr>
          <w:ilvl w:val="0"/>
          <w:numId w:val="3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lastRenderedPageBreak/>
        <w:t>Равноправные преподаватели / консультанты / лица, оказывающие поддержку в лечении</w:t>
      </w:r>
    </w:p>
    <w:p w14:paraId="2D47BE92" w14:textId="3A2FDD00" w:rsidR="00FA029F" w:rsidRPr="00124BD6" w:rsidRDefault="00FA029F" w:rsidP="00AC5B06">
      <w:pPr>
        <w:numPr>
          <w:ilvl w:val="0"/>
          <w:numId w:val="3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 xml:space="preserve">Члены семьи </w:t>
      </w:r>
      <w:r w:rsidR="002E1779">
        <w:rPr>
          <w:rFonts w:ascii="Cambria" w:hAnsi="Cambria"/>
          <w:color w:val="000000"/>
          <w:lang w:val="ru-RU"/>
        </w:rPr>
        <w:t>больных</w:t>
      </w:r>
      <w:r w:rsidRPr="00124BD6">
        <w:rPr>
          <w:rFonts w:ascii="Cambria" w:hAnsi="Cambria"/>
          <w:color w:val="000000"/>
          <w:lang w:val="ru-RU"/>
        </w:rPr>
        <w:t xml:space="preserve"> туберкулезом</w:t>
      </w:r>
    </w:p>
    <w:p w14:paraId="3466BDBB" w14:textId="77777777" w:rsidR="00FA029F" w:rsidRPr="00124BD6" w:rsidRDefault="00FA029F" w:rsidP="00AC5B06">
      <w:pPr>
        <w:numPr>
          <w:ilvl w:val="0"/>
          <w:numId w:val="3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Сотрудники неправительственных организаций, предоставляющих противотуберкулезные услуги</w:t>
      </w:r>
    </w:p>
    <w:p w14:paraId="64898ED7" w14:textId="3F28BC33" w:rsidR="00FA029F" w:rsidRDefault="00FA029F" w:rsidP="00AC5B06">
      <w:pPr>
        <w:numPr>
          <w:ilvl w:val="0"/>
          <w:numId w:val="3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Общ</w:t>
      </w:r>
      <w:r w:rsidR="00DC34A9">
        <w:rPr>
          <w:rFonts w:ascii="Cambria" w:hAnsi="Cambria"/>
          <w:color w:val="000000"/>
          <w:lang w:val="ru-RU"/>
        </w:rPr>
        <w:t>ественные медицинские работники</w:t>
      </w:r>
    </w:p>
    <w:p w14:paraId="18C8BBE8" w14:textId="4BDD4B80" w:rsidR="00DC34A9" w:rsidRPr="00124BD6" w:rsidRDefault="00DC34A9" w:rsidP="00AC5B06">
      <w:pPr>
        <w:numPr>
          <w:ilvl w:val="0"/>
          <w:numId w:val="3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>
        <w:rPr>
          <w:rFonts w:ascii="Cambria" w:hAnsi="Cambria"/>
          <w:color w:val="000000"/>
          <w:lang w:val="ru-RU"/>
        </w:rPr>
        <w:t>Мигранты</w:t>
      </w:r>
    </w:p>
    <w:p w14:paraId="165624E7" w14:textId="77777777" w:rsidR="00685645" w:rsidRPr="00124BD6" w:rsidRDefault="00685645" w:rsidP="00AC5B06">
      <w:pPr>
        <w:pStyle w:val="ListParagraph"/>
        <w:numPr>
          <w:ilvl w:val="0"/>
          <w:numId w:val="11"/>
        </w:numPr>
        <w:spacing w:before="480" w:after="480"/>
        <w:contextualSpacing w:val="0"/>
        <w:jc w:val="both"/>
        <w:rPr>
          <w:rFonts w:ascii="Cambria" w:eastAsia="Calibri" w:hAnsi="Cambria"/>
          <w:b/>
          <w:bCs/>
          <w:kern w:val="32"/>
          <w:lang w:val="ru-RU"/>
        </w:rPr>
      </w:pPr>
      <w:bookmarkStart w:id="3" w:name="_Toc23716342"/>
      <w:r w:rsidRPr="00124BD6">
        <w:rPr>
          <w:rFonts w:ascii="Cambria" w:hAnsi="Cambria"/>
          <w:b/>
          <w:color w:val="000000"/>
          <w:lang w:val="ru-RU"/>
        </w:rPr>
        <w:t>Техническое</w:t>
      </w:r>
      <w:r w:rsidRPr="00124BD6">
        <w:rPr>
          <w:rFonts w:ascii="Cambria" w:eastAsia="Calibri" w:hAnsi="Cambria"/>
          <w:b/>
          <w:bCs/>
          <w:kern w:val="32"/>
          <w:lang w:val="ru-RU"/>
        </w:rPr>
        <w:t xml:space="preserve"> описание/Особенности платформы электронного обучения</w:t>
      </w:r>
      <w:bookmarkEnd w:id="3"/>
    </w:p>
    <w:p w14:paraId="7081E2A5" w14:textId="77777777" w:rsidR="00685645" w:rsidRPr="00124BD6" w:rsidRDefault="00685645" w:rsidP="00AC5B06">
      <w:p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На Платформе, которая будет находиться в открытом доступе, будет размещена следующая информация:</w:t>
      </w:r>
    </w:p>
    <w:p w14:paraId="415DDE6B" w14:textId="77777777" w:rsidR="00685645" w:rsidRPr="00124BD6" w:rsidRDefault="00685645" w:rsidP="00AC5B06">
      <w:pPr>
        <w:numPr>
          <w:ilvl w:val="0"/>
          <w:numId w:val="14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bookmarkStart w:id="4" w:name="_Hlk38592781"/>
      <w:r w:rsidRPr="00124BD6">
        <w:rPr>
          <w:rFonts w:ascii="Cambria" w:hAnsi="Cambria"/>
          <w:b/>
          <w:color w:val="000000"/>
          <w:lang w:val="ru-RU"/>
        </w:rPr>
        <w:t>Домашняя страница</w:t>
      </w:r>
      <w:r w:rsidRPr="00124BD6">
        <w:rPr>
          <w:rFonts w:ascii="Cambria" w:hAnsi="Cambria"/>
          <w:color w:val="000000"/>
          <w:lang w:val="ru-RU"/>
        </w:rPr>
        <w:t>: информация о Платформе, новости и обновления, окно входа/регистрации</w:t>
      </w:r>
    </w:p>
    <w:p w14:paraId="492A833D" w14:textId="77777777" w:rsidR="00685645" w:rsidRPr="00124BD6" w:rsidRDefault="00685645" w:rsidP="00AC5B06">
      <w:pPr>
        <w:numPr>
          <w:ilvl w:val="0"/>
          <w:numId w:val="14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b/>
          <w:color w:val="000000"/>
          <w:lang w:val="ru-RU"/>
        </w:rPr>
        <w:t>База данных учебных курсов</w:t>
      </w:r>
      <w:r w:rsidRPr="00124BD6">
        <w:rPr>
          <w:rFonts w:ascii="Cambria" w:hAnsi="Cambria"/>
          <w:color w:val="000000"/>
          <w:lang w:val="ru-RU"/>
        </w:rPr>
        <w:t>: информация о каждом курсе, доступном на платформе, с возможностью фильтрации по темам, типу (обучение по заранее установленному или гибкому графику), языку, продолжительности и другим характеристикам</w:t>
      </w:r>
    </w:p>
    <w:p w14:paraId="7EF9A93A" w14:textId="77777777" w:rsidR="00685645" w:rsidRPr="00124BD6" w:rsidRDefault="00685645" w:rsidP="00AC5B06">
      <w:pPr>
        <w:numPr>
          <w:ilvl w:val="0"/>
          <w:numId w:val="14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b/>
          <w:color w:val="000000"/>
          <w:lang w:val="ru-RU"/>
        </w:rPr>
        <w:t>Информация о каждом курсе</w:t>
      </w:r>
      <w:r w:rsidRPr="00124BD6">
        <w:rPr>
          <w:rFonts w:ascii="Cambria" w:hAnsi="Cambria"/>
          <w:color w:val="000000"/>
          <w:lang w:val="ru-RU"/>
        </w:rPr>
        <w:t xml:space="preserve"> (описание курса, учебная программа, преподавательский состав, расписание – обучение по заранее установленному или гибкому графику, продолжительность и предполагаемая рабочая нагрузка, языки, требования для получения сертификата, отзывы слушателей курса, а также кнопка «Регистрация» которая открывает страницу для регистрации на курс/авторизации на странице)</w:t>
      </w:r>
    </w:p>
    <w:p w14:paraId="4ADE0FC1" w14:textId="77777777" w:rsidR="00685645" w:rsidRPr="00124BD6" w:rsidRDefault="00685645" w:rsidP="00AC5B06">
      <w:pPr>
        <w:numPr>
          <w:ilvl w:val="0"/>
          <w:numId w:val="14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b/>
          <w:color w:val="000000"/>
          <w:lang w:val="ru-RU"/>
        </w:rPr>
        <w:t>Материалы курса</w:t>
      </w:r>
      <w:r w:rsidRPr="00124BD6">
        <w:rPr>
          <w:rFonts w:ascii="Cambria" w:hAnsi="Cambria"/>
          <w:color w:val="000000"/>
          <w:lang w:val="ru-RU"/>
        </w:rPr>
        <w:t>, такие как презентации, материалы для чтения, анимация, инфографика, доступные для скачивания для зарегистрированных пользователей.</w:t>
      </w:r>
    </w:p>
    <w:p w14:paraId="4B89CD55" w14:textId="4082CB12" w:rsidR="00376DA3" w:rsidRPr="00124BD6" w:rsidRDefault="00685645" w:rsidP="00AC5B06">
      <w:pPr>
        <w:numPr>
          <w:ilvl w:val="0"/>
          <w:numId w:val="14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b/>
          <w:color w:val="000000"/>
          <w:lang w:val="ru-RU"/>
        </w:rPr>
        <w:t>Часто задаваемые вопросы</w:t>
      </w:r>
      <w:r w:rsidRPr="00124BD6">
        <w:rPr>
          <w:rFonts w:ascii="Cambria" w:hAnsi="Cambria"/>
          <w:color w:val="000000"/>
          <w:lang w:val="ru-RU"/>
        </w:rPr>
        <w:t xml:space="preserve"> и ответы, содержащие подробную информацию о лекциях, продолжительности курса, его содержании и другие сведения.</w:t>
      </w:r>
      <w:r w:rsidR="00376DA3" w:rsidRPr="00903D41">
        <w:rPr>
          <w:rFonts w:ascii="Cambria" w:hAnsi="Cambria"/>
          <w:color w:val="000000"/>
          <w:lang w:val="ru-RU"/>
        </w:rPr>
        <w:t xml:space="preserve">  </w:t>
      </w:r>
      <w:bookmarkEnd w:id="4"/>
    </w:p>
    <w:p w14:paraId="00970828" w14:textId="77777777" w:rsidR="00376DA3" w:rsidRPr="00903D41" w:rsidRDefault="00376DA3" w:rsidP="00AC5B06">
      <w:pPr>
        <w:spacing w:line="360" w:lineRule="auto"/>
        <w:jc w:val="both"/>
        <w:rPr>
          <w:rFonts w:ascii="Cambria" w:hAnsi="Cambria"/>
          <w:color w:val="000000"/>
          <w:lang w:val="ru-RU"/>
        </w:rPr>
      </w:pPr>
    </w:p>
    <w:p w14:paraId="7CF160C2" w14:textId="77777777" w:rsidR="00685645" w:rsidRPr="00124BD6" w:rsidRDefault="00685645" w:rsidP="00AC5B06">
      <w:pPr>
        <w:spacing w:after="240"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lang w:val="ru-RU"/>
        </w:rPr>
        <w:t>Зарегистрированные</w:t>
      </w:r>
      <w:r w:rsidRPr="00124BD6">
        <w:rPr>
          <w:rFonts w:ascii="Cambria" w:hAnsi="Cambria"/>
          <w:color w:val="000000"/>
          <w:lang w:val="ru-RU"/>
        </w:rPr>
        <w:t xml:space="preserve"> пользователи смогут получить доступ к своему личному кабинету, где находятся:</w:t>
      </w:r>
    </w:p>
    <w:p w14:paraId="5319F01D" w14:textId="77777777" w:rsidR="00685645" w:rsidRPr="00124BD6" w:rsidRDefault="00685645" w:rsidP="00AC5B06">
      <w:pPr>
        <w:numPr>
          <w:ilvl w:val="0"/>
          <w:numId w:val="13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lastRenderedPageBreak/>
        <w:t>Домашняя страница кабинета: список текущих, предстоящих и завершенных курсов;</w:t>
      </w:r>
    </w:p>
    <w:p w14:paraId="251D5B55" w14:textId="77777777" w:rsidR="00685645" w:rsidRPr="00124BD6" w:rsidRDefault="00685645" w:rsidP="00AC5B06">
      <w:pPr>
        <w:numPr>
          <w:ilvl w:val="0"/>
          <w:numId w:val="13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База данных курсов: информация о каждом курсе, доступном на платформе, с возможностью фильтрации по темам, типу (обучение по заранее установленному или гибкому графику), языку, продолжительности и другим характеристикам;</w:t>
      </w:r>
    </w:p>
    <w:p w14:paraId="72459AB3" w14:textId="77777777" w:rsidR="00685645" w:rsidRPr="00124BD6" w:rsidRDefault="00685645" w:rsidP="00AC5B06">
      <w:pPr>
        <w:numPr>
          <w:ilvl w:val="0"/>
          <w:numId w:val="14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Информация о каждом курсе (описание курса, учебная программа, преподавательский состав, расписание – обучение по заранее установленному или гибкому графику, продолжительность и предполагаемая рабочая нагрузка, языки, требования для получения сертификата, отзывы бывших слушателей курса, а также кнопка «Регистрация», которая открывает страницу для регистрации на курс/домашнюю страницу курса);</w:t>
      </w:r>
    </w:p>
    <w:p w14:paraId="427C6567" w14:textId="77777777" w:rsidR="001D51AA" w:rsidRPr="00124BD6" w:rsidRDefault="001D51AA" w:rsidP="00AC5B06">
      <w:pPr>
        <w:numPr>
          <w:ilvl w:val="0"/>
          <w:numId w:val="13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Для каждого курса будут доступны следующие разделы:</w:t>
      </w:r>
    </w:p>
    <w:p w14:paraId="394AF370" w14:textId="77777777" w:rsidR="001D51AA" w:rsidRPr="00124BD6" w:rsidRDefault="001D51AA" w:rsidP="00AC5B06">
      <w:pPr>
        <w:pStyle w:val="ListParagraph"/>
        <w:numPr>
          <w:ilvl w:val="0"/>
          <w:numId w:val="18"/>
        </w:numPr>
        <w:spacing w:line="360" w:lineRule="auto"/>
        <w:ind w:left="990" w:hanging="270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Домашняя страница курса: описание модуля; ссылки (воспроизведение – в новом окне/загрузка) на видеолекции в текущем модуле со ссылками на загружаемые текстовые файлы текущей видеолекции с субтитрами; ссылки на загружаемые материалы для чтения и презентации текущего модуля; ссылка на тест по текущему модулю (в новом окне); общий обзор результатов курса (место в общем графике курса и текущий балл);</w:t>
      </w:r>
    </w:p>
    <w:p w14:paraId="0B69F36C" w14:textId="77777777" w:rsidR="001D51AA" w:rsidRPr="00124BD6" w:rsidRDefault="001D51AA" w:rsidP="00AC5B06">
      <w:pPr>
        <w:pStyle w:val="ListParagraph"/>
        <w:numPr>
          <w:ilvl w:val="0"/>
          <w:numId w:val="18"/>
        </w:numPr>
        <w:spacing w:line="360" w:lineRule="auto"/>
        <w:ind w:left="990" w:hanging="270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Страница «Видеолекции»: видеоплеер по типу YouTube с субтитрами на выбранном языке и ссылками на материалы лекции (ссылка на загружаемый видеофайл, ссылка на загружаемый текстовый файл текущей видеолекции с субтитрами; ссылки на загружаемые материалы для чтения и презентации текущей лекции).</w:t>
      </w:r>
    </w:p>
    <w:p w14:paraId="386D2C70" w14:textId="77777777" w:rsidR="001D51AA" w:rsidRPr="00903D41" w:rsidRDefault="001D51AA" w:rsidP="00AC5B06">
      <w:pPr>
        <w:pStyle w:val="ListParagraph"/>
        <w:numPr>
          <w:ilvl w:val="0"/>
          <w:numId w:val="18"/>
        </w:numPr>
        <w:spacing w:line="360" w:lineRule="auto"/>
        <w:ind w:left="990" w:hanging="270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 xml:space="preserve">Страница «Тест/зачет»: веб-страница с вопросами, содержащими определенное количество вариантов ответа, а также кнопки СОХРАНИТЬ и ОТПРАВИТЬ внизу. Кнопка СОХРАНИТЬ приведет к сохранению текущих ответов без их отправки и к возврату пользователя на домашнюю страницу курса или на предыдущую страницу (в зависимости от результатов пробного запуска). Нажатие кнопки ОТПРАВИТЬ откроет страницу с результатами теста. Правильные ответы будут выделены зеленым цветом и снабжены пояснениями; неверные ответы будут выделены красным. В зависимости от </w:t>
      </w:r>
      <w:r w:rsidRPr="00124BD6">
        <w:rPr>
          <w:rFonts w:ascii="Cambria" w:hAnsi="Cambria"/>
          <w:color w:val="000000"/>
          <w:lang w:val="ru-RU"/>
        </w:rPr>
        <w:lastRenderedPageBreak/>
        <w:t>заданного количества попыток, пользователю либо будет предложено повторить тест, либо, если все попытки исчерпаны, будет дано объяснение каждого неправильного ответа. Баллы будут причислены к общей оценке успеваемости по курсу, необходимой для успешного прохождения курса, которая рассчитывается по заранее установленной формуле. Пользователям также будет предоставлена возможность сообщить об ошибке и оспорить результаты теста, а также объяснить, почему они не согласны с конкретным ответом.</w:t>
      </w:r>
    </w:p>
    <w:p w14:paraId="4F4E9E14" w14:textId="77777777" w:rsidR="001D51AA" w:rsidRPr="00124BD6" w:rsidRDefault="001D51AA" w:rsidP="00AC5B06">
      <w:pPr>
        <w:pStyle w:val="ListParagraph"/>
        <w:numPr>
          <w:ilvl w:val="0"/>
          <w:numId w:val="18"/>
        </w:numPr>
        <w:spacing w:line="360" w:lineRule="auto"/>
        <w:ind w:left="990" w:hanging="270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Страница «Оценка общей успеваемости»: результаты всех тестов, сданных в ходе курса, и анализ каждого теста, а также указание баллов, необходимых для получения обычного сертификата или сертификата с успешным завершением курса (если это предусмотрено для конкретного курса).</w:t>
      </w:r>
    </w:p>
    <w:p w14:paraId="1613337E" w14:textId="77777777" w:rsidR="001D51AA" w:rsidRPr="00124BD6" w:rsidRDefault="001D51AA" w:rsidP="00AC5B06">
      <w:p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Все разделы курса будут иметь панель навигации со ссылкой на домашнюю страницу «Кабинета» и раздел текущего курса (домашняя страница курса; ссылки на другие модули курса, с развернутым текущим модулем и отображением ссылок на видеолекции текущего модуля, страница «Оценка общей успеваемости»), а также ссылки на форму обратной связи, форум и «Часто задаваемые вопросы».</w:t>
      </w:r>
    </w:p>
    <w:p w14:paraId="035912AD" w14:textId="77777777" w:rsidR="001D51AA" w:rsidRPr="00124BD6" w:rsidRDefault="001D51AA" w:rsidP="00AC5B06">
      <w:pPr>
        <w:pStyle w:val="ListParagraph"/>
        <w:numPr>
          <w:ilvl w:val="0"/>
          <w:numId w:val="11"/>
        </w:numPr>
        <w:spacing w:before="480" w:after="480"/>
        <w:contextualSpacing w:val="0"/>
        <w:jc w:val="both"/>
        <w:rPr>
          <w:rFonts w:ascii="Cambria" w:hAnsi="Cambria"/>
          <w:b/>
          <w:color w:val="000000"/>
          <w:lang w:val="ru-RU"/>
        </w:rPr>
      </w:pPr>
      <w:r w:rsidRPr="00124BD6">
        <w:rPr>
          <w:rFonts w:ascii="Cambria" w:hAnsi="Cambria"/>
          <w:b/>
          <w:color w:val="000000"/>
          <w:lang w:val="ru-RU"/>
        </w:rPr>
        <w:t xml:space="preserve">Техническое решение </w:t>
      </w:r>
    </w:p>
    <w:p w14:paraId="3C54966C" w14:textId="02F7145F" w:rsidR="001D51AA" w:rsidRPr="00124BD6" w:rsidRDefault="001D51AA" w:rsidP="00AC5B06">
      <w:pPr>
        <w:tabs>
          <w:tab w:val="left" w:pos="4140"/>
        </w:tabs>
        <w:spacing w:after="240"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 xml:space="preserve">Платформа электронного обучения будет размещена на открытом исходном коде Moodle: https://moodle.org/). Moodle предоставляет мощный набор инструментов ориентированный </w:t>
      </w:r>
      <w:r w:rsidRPr="00C26477">
        <w:rPr>
          <w:rFonts w:ascii="Cambria" w:hAnsi="Cambria"/>
          <w:lang w:val="ru-RU"/>
        </w:rPr>
        <w:t>на</w:t>
      </w:r>
      <w:r w:rsidRPr="00124BD6">
        <w:rPr>
          <w:rFonts w:ascii="Cambria" w:hAnsi="Cambria"/>
          <w:color w:val="000000"/>
          <w:lang w:val="ru-RU"/>
        </w:rPr>
        <w:t xml:space="preserve"> учащихся, а также средств интерактивного обучения, которые расширяют возможности преподавания и обучения.</w:t>
      </w:r>
    </w:p>
    <w:p w14:paraId="0023B095" w14:textId="77777777" w:rsidR="001D51AA" w:rsidRPr="00124BD6" w:rsidRDefault="001D51AA" w:rsidP="00AC5B06">
      <w:pPr>
        <w:tabs>
          <w:tab w:val="left" w:pos="4140"/>
        </w:tabs>
        <w:spacing w:after="240"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Moodle с открытым исходным кодом имеет ряд преимуществ для платформы «TEACH ME TB», в том числе:</w:t>
      </w:r>
    </w:p>
    <w:p w14:paraId="7439ED09" w14:textId="77777777" w:rsidR="001D51AA" w:rsidRPr="00124BD6" w:rsidRDefault="001D51AA" w:rsidP="00AC5B06">
      <w:pPr>
        <w:numPr>
          <w:ilvl w:val="0"/>
          <w:numId w:val="12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является бесплатным программным обеспечением с открытым доступом;</w:t>
      </w:r>
    </w:p>
    <w:p w14:paraId="6D477937" w14:textId="77777777" w:rsidR="001D51AA" w:rsidRPr="00124BD6" w:rsidRDefault="001D51AA" w:rsidP="00AC5B06">
      <w:pPr>
        <w:numPr>
          <w:ilvl w:val="0"/>
          <w:numId w:val="12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предоставляет полный контроль над исходным кодом и базой данных;</w:t>
      </w:r>
    </w:p>
    <w:p w14:paraId="6A022073" w14:textId="77777777" w:rsidR="001D51AA" w:rsidRPr="00124BD6" w:rsidRDefault="001D51AA" w:rsidP="00AC5B06">
      <w:pPr>
        <w:numPr>
          <w:ilvl w:val="0"/>
          <w:numId w:val="12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предлагает возможность предоставлять контент на нескольких языках;</w:t>
      </w:r>
    </w:p>
    <w:p w14:paraId="6EA3C426" w14:textId="77777777" w:rsidR="001D51AA" w:rsidRPr="00124BD6" w:rsidRDefault="001D51AA" w:rsidP="00AC5B06">
      <w:pPr>
        <w:numPr>
          <w:ilvl w:val="0"/>
          <w:numId w:val="12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адаптируется к индивидуальным потребностям, позволяя разработать индивидуальный дизайн интерфейса и структуру платформы;</w:t>
      </w:r>
    </w:p>
    <w:p w14:paraId="1BA8E6FC" w14:textId="77777777" w:rsidR="001D51AA" w:rsidRPr="00124BD6" w:rsidRDefault="001D51AA" w:rsidP="00AC5B06">
      <w:pPr>
        <w:numPr>
          <w:ilvl w:val="0"/>
          <w:numId w:val="12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lastRenderedPageBreak/>
        <w:t>способен удовлетворить потребности небольших учебных классов и крупных организаций;</w:t>
      </w:r>
    </w:p>
    <w:p w14:paraId="39B20AB8" w14:textId="77777777" w:rsidR="001D51AA" w:rsidRPr="00124BD6" w:rsidRDefault="001D51AA" w:rsidP="00AC5B06">
      <w:pPr>
        <w:numPr>
          <w:ilvl w:val="0"/>
          <w:numId w:val="12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легко развертывается в частном безопасном облаке или на сервере для полного контроля;</w:t>
      </w:r>
    </w:p>
    <w:p w14:paraId="7E51FF05" w14:textId="77777777" w:rsidR="001D51AA" w:rsidRPr="005B1E31" w:rsidRDefault="001D51AA" w:rsidP="00AC5B06">
      <w:pPr>
        <w:numPr>
          <w:ilvl w:val="0"/>
          <w:numId w:val="12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разработан для поддержки как преподавания, так и обучения.</w:t>
      </w:r>
    </w:p>
    <w:p w14:paraId="1ED5C3A8" w14:textId="77777777" w:rsidR="001D51AA" w:rsidRPr="00124BD6" w:rsidRDefault="001D51AA" w:rsidP="00AC5B06">
      <w:pPr>
        <w:pStyle w:val="ListParagraph"/>
        <w:numPr>
          <w:ilvl w:val="0"/>
          <w:numId w:val="11"/>
        </w:numPr>
        <w:spacing w:before="480" w:after="480"/>
        <w:contextualSpacing w:val="0"/>
        <w:jc w:val="both"/>
        <w:rPr>
          <w:rFonts w:ascii="Cambria" w:eastAsia="Calibri" w:hAnsi="Cambria"/>
          <w:b/>
          <w:bCs/>
          <w:kern w:val="32"/>
          <w:lang w:val="ru-RU"/>
        </w:rPr>
      </w:pPr>
      <w:r w:rsidRPr="00124BD6">
        <w:rPr>
          <w:rFonts w:ascii="Cambria" w:eastAsia="Calibri" w:hAnsi="Cambria"/>
          <w:b/>
          <w:bCs/>
          <w:kern w:val="32"/>
          <w:lang w:val="ru-RU"/>
        </w:rPr>
        <w:t xml:space="preserve">Критерии выбора консультанта </w:t>
      </w:r>
    </w:p>
    <w:p w14:paraId="086FAB54" w14:textId="593E1F8A" w:rsidR="001D51AA" w:rsidRPr="00124BD6" w:rsidRDefault="001D51AA" w:rsidP="002E1779">
      <w:pPr>
        <w:spacing w:line="360" w:lineRule="auto"/>
        <w:jc w:val="both"/>
        <w:rPr>
          <w:rFonts w:ascii="Cambria" w:eastAsia="Calibri" w:hAnsi="Cambria"/>
          <w:b/>
          <w:bCs/>
          <w:kern w:val="32"/>
          <w:lang w:val="ru-RU"/>
        </w:rPr>
      </w:pPr>
      <w:r w:rsidRPr="00124BD6">
        <w:rPr>
          <w:rFonts w:ascii="Cambria" w:hAnsi="Cambria"/>
          <w:color w:val="000000"/>
          <w:lang w:val="ru-RU"/>
        </w:rPr>
        <w:t xml:space="preserve">Задание будет выполняться отдельным консультантом или группой консультантов, которые совместно представят свое предложение (далее «Консультант»). Консультант будет определен на основе открытого конкурса. </w:t>
      </w:r>
      <w:r w:rsidRPr="002E1779">
        <w:rPr>
          <w:rFonts w:ascii="Cambria" w:hAnsi="Cambria"/>
          <w:color w:val="000000"/>
          <w:lang w:val="ru-RU"/>
        </w:rPr>
        <w:t>Квалификационные требования и основы для оценки и отбора консультанта:</w:t>
      </w:r>
    </w:p>
    <w:p w14:paraId="6A1A4797" w14:textId="6E30BE6D" w:rsidR="007C187E" w:rsidRPr="00124BD6" w:rsidRDefault="007C187E" w:rsidP="00AC5B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eastAsia="Calibri" w:hAnsi="Cambria"/>
          <w:lang w:val="ru-RU"/>
        </w:rPr>
      </w:pPr>
      <w:r w:rsidRPr="00124BD6">
        <w:rPr>
          <w:rFonts w:ascii="Cambria" w:eastAsia="Calibri" w:hAnsi="Cambria"/>
          <w:lang w:val="ru-RU"/>
        </w:rPr>
        <w:t xml:space="preserve">Высшее образование (университет или колледж) в области социальных наук, общественного здравоохранения, </w:t>
      </w:r>
      <w:r w:rsidRPr="00124BD6">
        <w:rPr>
          <w:rFonts w:ascii="Cambria" w:hAnsi="Cambria"/>
          <w:color w:val="000000"/>
          <w:lang w:val="ru-RU"/>
        </w:rPr>
        <w:t xml:space="preserve">продвижения здорового образа, </w:t>
      </w:r>
      <w:r w:rsidRPr="00124BD6">
        <w:rPr>
          <w:rFonts w:ascii="Cambria" w:eastAsia="Calibri" w:hAnsi="Cambria"/>
          <w:lang w:val="ru-RU"/>
        </w:rPr>
        <w:t xml:space="preserve">журналистики, коммуникации и/или другой аналогичной области </w:t>
      </w:r>
      <w:r w:rsidRPr="00124BD6">
        <w:rPr>
          <w:rFonts w:ascii="Cambria" w:hAnsi="Cambria"/>
          <w:color w:val="000000"/>
          <w:lang w:val="ru-RU"/>
        </w:rPr>
        <w:t>(20% от итоговой оценки);</w:t>
      </w:r>
    </w:p>
    <w:p w14:paraId="0D396398" w14:textId="506D9FE0" w:rsidR="007C187E" w:rsidRPr="00124BD6" w:rsidRDefault="00DC34A9" w:rsidP="00AC5B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>
        <w:rPr>
          <w:rFonts w:ascii="Cambria" w:eastAsia="Calibri" w:hAnsi="Cambria"/>
          <w:lang w:val="ru-RU"/>
        </w:rPr>
        <w:t>Минимум 3</w:t>
      </w:r>
      <w:r w:rsidR="007C187E" w:rsidRPr="00124BD6">
        <w:rPr>
          <w:rFonts w:ascii="Cambria" w:eastAsia="Calibri" w:hAnsi="Cambria"/>
          <w:lang w:val="ru-RU"/>
        </w:rPr>
        <w:t xml:space="preserve"> лет профессионального опыта работы в области общественного здравоохранения </w:t>
      </w:r>
      <w:r w:rsidR="007C187E" w:rsidRPr="00124BD6">
        <w:rPr>
          <w:rFonts w:ascii="Cambria" w:hAnsi="Cambria"/>
          <w:color w:val="000000"/>
          <w:lang w:val="ru-RU"/>
        </w:rPr>
        <w:t xml:space="preserve">и конкретно в области туберкулеза </w:t>
      </w:r>
      <w:r w:rsidR="006D3AD9">
        <w:rPr>
          <w:rFonts w:ascii="Cambria" w:hAnsi="Cambria"/>
          <w:color w:val="000000"/>
          <w:lang w:val="ru-RU"/>
        </w:rPr>
        <w:t>и</w:t>
      </w:r>
      <w:r w:rsidR="006D3AD9" w:rsidRPr="006D3AD9">
        <w:rPr>
          <w:rFonts w:ascii="Cambria" w:hAnsi="Cambria"/>
          <w:color w:val="000000"/>
          <w:lang w:val="ru-RU"/>
        </w:rPr>
        <w:t>/</w:t>
      </w:r>
      <w:r w:rsidR="006D3AD9">
        <w:rPr>
          <w:rFonts w:ascii="Cambria" w:hAnsi="Cambria"/>
          <w:color w:val="000000"/>
          <w:lang w:val="ru-RU"/>
        </w:rPr>
        <w:t>и</w:t>
      </w:r>
      <w:r w:rsidR="00E92EE5">
        <w:rPr>
          <w:rFonts w:ascii="Cambria" w:hAnsi="Cambria"/>
          <w:color w:val="000000"/>
          <w:lang w:val="ru-RU"/>
        </w:rPr>
        <w:t xml:space="preserve">ли миграции </w:t>
      </w:r>
      <w:r w:rsidR="007C187E" w:rsidRPr="005B1E31">
        <w:rPr>
          <w:rFonts w:ascii="Cambria" w:hAnsi="Cambria"/>
          <w:color w:val="000000"/>
          <w:lang w:val="ru-RU"/>
        </w:rPr>
        <w:t>(20%</w:t>
      </w:r>
      <w:r w:rsidR="007C187E" w:rsidRPr="00124BD6">
        <w:rPr>
          <w:rFonts w:ascii="Cambria" w:hAnsi="Cambria"/>
          <w:color w:val="000000"/>
          <w:lang w:val="ru-RU"/>
        </w:rPr>
        <w:t xml:space="preserve"> от итоговой оценки</w:t>
      </w:r>
      <w:r w:rsidR="007C187E" w:rsidRPr="005B1E31">
        <w:rPr>
          <w:rFonts w:ascii="Cambria" w:hAnsi="Cambria"/>
          <w:color w:val="000000"/>
          <w:lang w:val="ru-RU"/>
        </w:rPr>
        <w:t>);</w:t>
      </w:r>
    </w:p>
    <w:p w14:paraId="3905647E" w14:textId="77777777" w:rsidR="00820DE3" w:rsidRPr="00124BD6" w:rsidRDefault="00820DE3" w:rsidP="00AC5B06">
      <w:pPr>
        <w:numPr>
          <w:ilvl w:val="0"/>
          <w:numId w:val="2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Опыт работы с сообществом (20% от итоговой оценки);</w:t>
      </w:r>
    </w:p>
    <w:p w14:paraId="1EED129D" w14:textId="77777777" w:rsidR="00820DE3" w:rsidRPr="00124BD6" w:rsidRDefault="00820DE3" w:rsidP="00AC5B06">
      <w:pPr>
        <w:numPr>
          <w:ilvl w:val="0"/>
          <w:numId w:val="2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Желательно наличие опыта разработки образовательного контента/учебных программ, а также опыта проведения тренингов (30% от итоговой оценки).</w:t>
      </w:r>
    </w:p>
    <w:p w14:paraId="07EFC68A" w14:textId="77777777" w:rsidR="00820DE3" w:rsidRPr="005B1E31" w:rsidRDefault="00820DE3" w:rsidP="00AC5B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5B1E31">
        <w:rPr>
          <w:rFonts w:ascii="Cambria" w:hAnsi="Cambria"/>
          <w:color w:val="000000"/>
          <w:lang w:val="ru-RU"/>
        </w:rPr>
        <w:t>Отличный разговорный и письменный русский и английский</w:t>
      </w:r>
      <w:r w:rsidRPr="00124BD6">
        <w:rPr>
          <w:rFonts w:ascii="Cambria" w:hAnsi="Cambria"/>
          <w:color w:val="000000"/>
          <w:lang w:val="ru-RU"/>
        </w:rPr>
        <w:t xml:space="preserve"> языки</w:t>
      </w:r>
      <w:r w:rsidRPr="005B1E31">
        <w:rPr>
          <w:rFonts w:ascii="Cambria" w:hAnsi="Cambria"/>
          <w:color w:val="000000"/>
          <w:lang w:val="ru-RU"/>
        </w:rPr>
        <w:t>, отличные навыки письма и переписки, отличные коммуникативные навыки (10% от итоговой оценки)</w:t>
      </w:r>
    </w:p>
    <w:p w14:paraId="14A043C6" w14:textId="77777777" w:rsidR="00820DE3" w:rsidRPr="005B1E31" w:rsidRDefault="00820DE3" w:rsidP="00AC5B06">
      <w:pPr>
        <w:pStyle w:val="ListParagraph"/>
        <w:spacing w:line="360" w:lineRule="auto"/>
        <w:jc w:val="both"/>
        <w:rPr>
          <w:rFonts w:ascii="Cambria" w:hAnsi="Cambria"/>
          <w:color w:val="000000"/>
          <w:lang w:val="ru-RU"/>
        </w:rPr>
      </w:pPr>
    </w:p>
    <w:p w14:paraId="40F8439A" w14:textId="77777777" w:rsidR="00820DE3" w:rsidRPr="00124BD6" w:rsidRDefault="00820DE3" w:rsidP="00AC5B06">
      <w:pPr>
        <w:tabs>
          <w:tab w:val="left" w:pos="4140"/>
        </w:tabs>
        <w:spacing w:after="240"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Предпочтение будет отдаваться членам сообщества, имеющим опыт лечения туберкулеза, которые соответствуют вышеуказанным критериям.</w:t>
      </w:r>
    </w:p>
    <w:p w14:paraId="0F4648D5" w14:textId="3E47A34C" w:rsidR="00820DE3" w:rsidRPr="005B1E31" w:rsidRDefault="00820DE3" w:rsidP="00AC5B06">
      <w:pPr>
        <w:tabs>
          <w:tab w:val="left" w:pos="4140"/>
        </w:tabs>
        <w:spacing w:after="240" w:line="360" w:lineRule="auto"/>
        <w:jc w:val="both"/>
        <w:rPr>
          <w:rFonts w:ascii="Cambria" w:hAnsi="Cambria" w:cs="Calibri"/>
          <w:bCs/>
          <w:snapToGrid w:val="0"/>
          <w:lang w:val="ru-RU"/>
        </w:rPr>
      </w:pPr>
      <w:r w:rsidRPr="005B1E31">
        <w:rPr>
          <w:rFonts w:ascii="Cambria" w:hAnsi="Cambria" w:cs="Calibri"/>
          <w:bCs/>
          <w:snapToGrid w:val="0"/>
          <w:lang w:val="ru-RU"/>
        </w:rPr>
        <w:t>Пожалуйста, обратите внимание, что мы свяжемся только с кандидатами, которы</w:t>
      </w:r>
      <w:r w:rsidR="001D2950">
        <w:rPr>
          <w:rFonts w:ascii="Cambria" w:hAnsi="Cambria" w:cs="Calibri"/>
          <w:bCs/>
          <w:snapToGrid w:val="0"/>
          <w:lang w:val="ru-RU"/>
        </w:rPr>
        <w:t>е</w:t>
      </w:r>
      <w:r w:rsidRPr="005B1E31">
        <w:rPr>
          <w:rFonts w:ascii="Cambria" w:hAnsi="Cambria" w:cs="Calibri"/>
          <w:bCs/>
          <w:snapToGrid w:val="0"/>
          <w:lang w:val="ru-RU"/>
        </w:rPr>
        <w:t xml:space="preserve"> </w:t>
      </w:r>
      <w:r w:rsidRPr="00C26477">
        <w:rPr>
          <w:rFonts w:ascii="Cambria" w:hAnsi="Cambria"/>
          <w:lang w:val="ru-RU"/>
        </w:rPr>
        <w:t>успешно</w:t>
      </w:r>
      <w:r w:rsidRPr="005B1E31">
        <w:rPr>
          <w:rFonts w:ascii="Cambria" w:hAnsi="Cambria" w:cs="Calibri"/>
          <w:bCs/>
          <w:snapToGrid w:val="0"/>
          <w:lang w:val="ru-RU"/>
        </w:rPr>
        <w:t xml:space="preserve"> пройдут </w:t>
      </w:r>
      <w:r w:rsidRPr="00124BD6">
        <w:rPr>
          <w:rFonts w:ascii="Cambria" w:hAnsi="Cambria" w:cs="Calibri"/>
          <w:bCs/>
          <w:snapToGrid w:val="0"/>
          <w:lang w:val="ru-RU"/>
        </w:rPr>
        <w:t xml:space="preserve">по </w:t>
      </w:r>
      <w:r w:rsidRPr="00124BD6">
        <w:rPr>
          <w:rFonts w:ascii="Cambria" w:hAnsi="Cambria"/>
          <w:color w:val="000000"/>
          <w:lang w:val="ru-RU"/>
        </w:rPr>
        <w:t>конкурсу</w:t>
      </w:r>
      <w:r w:rsidRPr="005B1E31">
        <w:rPr>
          <w:rFonts w:ascii="Cambria" w:hAnsi="Cambria" w:cs="Calibri"/>
          <w:bCs/>
          <w:snapToGrid w:val="0"/>
          <w:lang w:val="ru-RU"/>
        </w:rPr>
        <w:t>.</w:t>
      </w:r>
    </w:p>
    <w:p w14:paraId="58AF189F" w14:textId="77777777" w:rsidR="000A05CD" w:rsidRPr="00124BD6" w:rsidRDefault="000A05CD" w:rsidP="00AC5B06">
      <w:pPr>
        <w:pStyle w:val="ListParagraph"/>
        <w:numPr>
          <w:ilvl w:val="0"/>
          <w:numId w:val="11"/>
        </w:numPr>
        <w:spacing w:before="480" w:after="360" w:line="360" w:lineRule="auto"/>
        <w:contextualSpacing w:val="0"/>
        <w:jc w:val="both"/>
        <w:rPr>
          <w:rFonts w:ascii="Cambria" w:eastAsia="Calibri" w:hAnsi="Cambria"/>
          <w:b/>
          <w:bCs/>
          <w:kern w:val="32"/>
          <w:lang w:val="ru-RU"/>
        </w:rPr>
      </w:pPr>
      <w:r w:rsidRPr="00124BD6">
        <w:rPr>
          <w:rFonts w:ascii="Cambria" w:eastAsia="Calibri" w:hAnsi="Cambria"/>
          <w:b/>
          <w:bCs/>
          <w:kern w:val="32"/>
          <w:lang w:val="ru-RU"/>
        </w:rPr>
        <w:lastRenderedPageBreak/>
        <w:t>По согласованию с сетью «</w:t>
      </w:r>
      <w:r w:rsidRPr="00124BD6">
        <w:rPr>
          <w:rFonts w:ascii="Cambria" w:hAnsi="Cambria"/>
          <w:b/>
          <w:color w:val="000000"/>
          <w:lang w:val="ru-RU"/>
        </w:rPr>
        <w:t>TBpeople</w:t>
      </w:r>
      <w:r w:rsidRPr="00124BD6">
        <w:rPr>
          <w:rFonts w:ascii="Cambria" w:eastAsia="Calibri" w:hAnsi="Cambria"/>
          <w:b/>
          <w:bCs/>
          <w:kern w:val="32"/>
          <w:lang w:val="ru-RU"/>
        </w:rPr>
        <w:t>», Консультант должен выполнить следующее:</w:t>
      </w:r>
    </w:p>
    <w:p w14:paraId="507ED03D" w14:textId="15ACF500" w:rsidR="000A05CD" w:rsidRPr="00124BD6" w:rsidRDefault="000A05CD" w:rsidP="00AC5B06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0A6A6D">
        <w:rPr>
          <w:rFonts w:ascii="Cambria" w:hAnsi="Cambria"/>
          <w:color w:val="000000"/>
          <w:lang w:val="ru-RU"/>
        </w:rPr>
        <w:t>Разработать</w:t>
      </w:r>
      <w:r w:rsidRPr="00124BD6">
        <w:rPr>
          <w:rFonts w:ascii="Cambria" w:hAnsi="Cambria"/>
          <w:color w:val="000000"/>
          <w:lang w:val="ru-RU"/>
        </w:rPr>
        <w:t xml:space="preserve"> содержание курса «</w:t>
      </w:r>
      <w:r w:rsidR="00C72A1F">
        <w:rPr>
          <w:rFonts w:ascii="Cambria" w:hAnsi="Cambria"/>
          <w:lang w:val="ru-RU"/>
        </w:rPr>
        <w:t>ТБ и миграция</w:t>
      </w:r>
      <w:r w:rsidRPr="00124BD6">
        <w:rPr>
          <w:rFonts w:ascii="Cambria" w:hAnsi="Cambria"/>
          <w:color w:val="000000"/>
          <w:lang w:val="ru-RU"/>
        </w:rPr>
        <w:t>», исходя из концепции и технических параметров курса;</w:t>
      </w:r>
    </w:p>
    <w:p w14:paraId="2C07915F" w14:textId="51C20094" w:rsidR="000A05CD" w:rsidRPr="00124BD6" w:rsidRDefault="000A05CD" w:rsidP="00AC5B06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Подготовить курс для загрузки на онлайн-платформу (подготовить материалы для чтения, презентации, видео и тесты курса «</w:t>
      </w:r>
      <w:r w:rsidR="00C72A1F">
        <w:rPr>
          <w:rFonts w:ascii="Cambria" w:hAnsi="Cambria"/>
          <w:lang w:val="ru-RU"/>
        </w:rPr>
        <w:t>ТБ и миграция</w:t>
      </w:r>
      <w:r w:rsidRPr="00124BD6">
        <w:rPr>
          <w:rFonts w:ascii="Cambria" w:hAnsi="Cambria"/>
          <w:color w:val="000000"/>
          <w:lang w:val="ru-RU"/>
        </w:rPr>
        <w:t>», тесты и др. в соответствии с техническими параметрами);</w:t>
      </w:r>
    </w:p>
    <w:p w14:paraId="3960C1DA" w14:textId="77777777" w:rsidR="000A05CD" w:rsidRPr="00124BD6" w:rsidRDefault="000A05CD" w:rsidP="00AC5B06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 xml:space="preserve">Предоставить необходимую вспомогательную информацию сети </w:t>
      </w:r>
      <w:bookmarkStart w:id="5" w:name="_Hlk33014638"/>
      <w:r w:rsidRPr="00124BD6">
        <w:rPr>
          <w:rFonts w:ascii="Cambria" w:hAnsi="Cambria"/>
          <w:color w:val="000000"/>
          <w:lang w:val="ru-RU"/>
        </w:rPr>
        <w:t>«</w:t>
      </w:r>
      <w:bookmarkEnd w:id="5"/>
      <w:r w:rsidRPr="00124BD6">
        <w:rPr>
          <w:rFonts w:ascii="Cambria" w:hAnsi="Cambria"/>
          <w:color w:val="000000"/>
          <w:lang w:val="ru-RU"/>
        </w:rPr>
        <w:t>TBpeople»;</w:t>
      </w:r>
    </w:p>
    <w:p w14:paraId="4FF9A7F4" w14:textId="366BFD38" w:rsidR="000A05CD" w:rsidRPr="00124BD6" w:rsidRDefault="000A05CD" w:rsidP="00AC5B06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Работать в тестом сотрудничестве с видеоконсультантом «TBpeople»</w:t>
      </w:r>
      <w:r w:rsidR="002E1779">
        <w:rPr>
          <w:rFonts w:ascii="Cambria" w:hAnsi="Cambria"/>
          <w:color w:val="000000"/>
          <w:lang w:val="ru-RU"/>
        </w:rPr>
        <w:t xml:space="preserve">, Центром </w:t>
      </w:r>
      <w:r w:rsidR="002E1779" w:rsidRPr="00124BD6">
        <w:rPr>
          <w:rFonts w:ascii="Cambria" w:hAnsi="Cambria"/>
          <w:color w:val="000000"/>
          <w:lang w:val="ru-RU"/>
        </w:rPr>
        <w:t>PAS</w:t>
      </w:r>
      <w:r w:rsidRPr="00124BD6">
        <w:rPr>
          <w:rFonts w:ascii="Cambria" w:hAnsi="Cambria"/>
          <w:color w:val="000000"/>
          <w:lang w:val="ru-RU"/>
        </w:rPr>
        <w:t xml:space="preserve"> и ИТ-консультантом;</w:t>
      </w:r>
    </w:p>
    <w:p w14:paraId="37AD1ABA" w14:textId="77777777" w:rsidR="000A05CD" w:rsidRPr="00124BD6" w:rsidRDefault="000A05CD" w:rsidP="00AC5B06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Внести необходимые коррективы на основе полученных отзывов;</w:t>
      </w:r>
    </w:p>
    <w:p w14:paraId="06E7184E" w14:textId="77777777" w:rsidR="000A05CD" w:rsidRPr="00124BD6" w:rsidRDefault="000A05CD" w:rsidP="00AC5B06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Предоставить все материалы для загрузки и обновления контента;</w:t>
      </w:r>
    </w:p>
    <w:p w14:paraId="6A9C2DCB" w14:textId="77777777" w:rsidR="000A05CD" w:rsidRPr="00124BD6" w:rsidRDefault="000A05CD" w:rsidP="00AC5B06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После запуска Платформы обеспечить постоянную поддержку, включая внесение необходимых корректировок и улучшений для эффективной работы Платформы в соответствии с требованиями сети «TBpeople» и с рекомендациями ИТ-специалистов.</w:t>
      </w:r>
    </w:p>
    <w:p w14:paraId="33AF9670" w14:textId="1602CDEE" w:rsidR="007D5879" w:rsidRPr="00124BD6" w:rsidRDefault="007D5879" w:rsidP="00AC5B06">
      <w:p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Заинтересованные лица должны представить резюме, методологию и концептуальную структуру курса «</w:t>
      </w:r>
      <w:r w:rsidR="00C72A1F">
        <w:rPr>
          <w:rFonts w:ascii="Cambria" w:hAnsi="Cambria"/>
          <w:lang w:val="ru-RU"/>
        </w:rPr>
        <w:t>ТБ и миграция</w:t>
      </w:r>
      <w:r w:rsidRPr="00124BD6">
        <w:rPr>
          <w:rFonts w:ascii="Cambria" w:hAnsi="Cambria"/>
          <w:color w:val="000000"/>
          <w:lang w:val="ru-RU"/>
        </w:rPr>
        <w:t>», содержащую информацию о формате курса, его темы, источники информации, список экспертов, которые могут быть рассмотрены для записи видео- и аудиоматериалов, и список соответствующих материалов для чтения.</w:t>
      </w:r>
    </w:p>
    <w:p w14:paraId="5BCCDA24" w14:textId="77777777" w:rsidR="00093D9C" w:rsidRPr="000A6A6D" w:rsidRDefault="00093D9C" w:rsidP="00AC5B06">
      <w:pPr>
        <w:spacing w:line="360" w:lineRule="auto"/>
        <w:ind w:left="720"/>
        <w:jc w:val="both"/>
        <w:rPr>
          <w:rFonts w:ascii="Cambria" w:hAnsi="Cambria"/>
          <w:color w:val="000000"/>
          <w:lang w:val="ru-RU"/>
        </w:rPr>
      </w:pPr>
    </w:p>
    <w:p w14:paraId="6C56DBF4" w14:textId="77777777" w:rsidR="007D5879" w:rsidRPr="00124BD6" w:rsidRDefault="007D5879" w:rsidP="00AC5B06">
      <w:pPr>
        <w:pStyle w:val="ListParagraph"/>
        <w:numPr>
          <w:ilvl w:val="0"/>
          <w:numId w:val="11"/>
        </w:numPr>
        <w:spacing w:before="480" w:after="360"/>
        <w:contextualSpacing w:val="0"/>
        <w:jc w:val="both"/>
        <w:rPr>
          <w:rFonts w:ascii="Cambria" w:eastAsia="Calibri" w:hAnsi="Cambria"/>
          <w:b/>
          <w:bCs/>
          <w:kern w:val="32"/>
          <w:lang w:val="ru-RU"/>
        </w:rPr>
      </w:pPr>
      <w:r w:rsidRPr="00124BD6">
        <w:rPr>
          <w:rFonts w:ascii="Cambria" w:eastAsia="Calibri" w:hAnsi="Cambria"/>
          <w:b/>
          <w:bCs/>
          <w:kern w:val="32"/>
          <w:lang w:val="ru-RU"/>
        </w:rPr>
        <w:t xml:space="preserve">Сроки </w:t>
      </w:r>
      <w:r w:rsidRPr="003E0440">
        <w:rPr>
          <w:rFonts w:ascii="Cambria" w:eastAsia="Calibri" w:hAnsi="Cambria"/>
          <w:b/>
          <w:bCs/>
          <w:kern w:val="32"/>
          <w:lang w:val="ru-RU"/>
        </w:rPr>
        <w:t>выполнения</w:t>
      </w:r>
      <w:r w:rsidRPr="00124BD6">
        <w:rPr>
          <w:rFonts w:ascii="Cambria" w:eastAsia="Calibri" w:hAnsi="Cambria"/>
          <w:b/>
          <w:bCs/>
          <w:kern w:val="32"/>
          <w:lang w:val="ru-RU"/>
        </w:rPr>
        <w:t xml:space="preserve"> задания:</w:t>
      </w:r>
    </w:p>
    <w:p w14:paraId="7BF5BB93" w14:textId="516FFC40" w:rsidR="007D5879" w:rsidRPr="00124BD6" w:rsidRDefault="007D5879" w:rsidP="00AC5B06">
      <w:pPr>
        <w:spacing w:line="360" w:lineRule="auto"/>
        <w:jc w:val="both"/>
        <w:rPr>
          <w:rFonts w:ascii="Cambria" w:hAnsi="Cambria" w:cs="Calibri"/>
          <w:bCs/>
          <w:snapToGrid w:val="0"/>
          <w:lang w:val="ru-RU"/>
        </w:rPr>
      </w:pPr>
      <w:r w:rsidRPr="00124BD6">
        <w:rPr>
          <w:rFonts w:ascii="Cambria" w:hAnsi="Cambria" w:cs="NLNMBM+Arial"/>
          <w:color w:val="000000"/>
          <w:lang w:val="ru-RU"/>
        </w:rPr>
        <w:t xml:space="preserve">Услуги консультанта должны быть предоставлены с </w:t>
      </w:r>
      <w:r w:rsidR="001C1D6E">
        <w:rPr>
          <w:rFonts w:ascii="Cambria" w:hAnsi="Cambria" w:cs="NLNMBM+Arial"/>
          <w:color w:val="000000"/>
          <w:lang w:val="ru-RU"/>
        </w:rPr>
        <w:t>25 июля</w:t>
      </w:r>
      <w:r w:rsidR="00FC7F8A">
        <w:rPr>
          <w:rFonts w:ascii="Cambria" w:hAnsi="Cambria" w:cs="NLNMBM+Arial"/>
          <w:color w:val="000000"/>
          <w:lang w:val="ru-RU"/>
        </w:rPr>
        <w:t xml:space="preserve"> до </w:t>
      </w:r>
      <w:r w:rsidR="00DC2DC6">
        <w:rPr>
          <w:rFonts w:ascii="Cambria" w:hAnsi="Cambria" w:cs="NLNMBM+Arial"/>
          <w:color w:val="000000"/>
          <w:lang w:val="ru-RU"/>
        </w:rPr>
        <w:t>25</w:t>
      </w:r>
      <w:r w:rsidR="001C1D6E">
        <w:rPr>
          <w:rFonts w:ascii="Cambria" w:hAnsi="Cambria" w:cs="NLNMBM+Arial"/>
          <w:color w:val="000000"/>
          <w:lang w:val="ru-RU"/>
        </w:rPr>
        <w:t xml:space="preserve"> сентября</w:t>
      </w:r>
      <w:r w:rsidRPr="00124BD6">
        <w:rPr>
          <w:rFonts w:ascii="Cambria" w:hAnsi="Cambria" w:cs="NLNMBM+Arial"/>
          <w:color w:val="000000"/>
          <w:lang w:val="ru-RU"/>
        </w:rPr>
        <w:t xml:space="preserve"> 2020 года, включая тестирование и отображение полученных в отзывах рекомендаций.</w:t>
      </w:r>
    </w:p>
    <w:p w14:paraId="56D00D10" w14:textId="77777777" w:rsidR="007D5879" w:rsidRPr="00124BD6" w:rsidRDefault="007D5879" w:rsidP="002E1779">
      <w:pPr>
        <w:pStyle w:val="ListParagraph"/>
        <w:numPr>
          <w:ilvl w:val="0"/>
          <w:numId w:val="11"/>
        </w:numPr>
        <w:spacing w:before="360" w:after="360"/>
        <w:contextualSpacing w:val="0"/>
        <w:jc w:val="both"/>
        <w:rPr>
          <w:rFonts w:ascii="Cambria" w:eastAsia="Calibri" w:hAnsi="Cambria"/>
          <w:b/>
          <w:bCs/>
          <w:kern w:val="32"/>
          <w:lang w:val="ru-RU"/>
        </w:rPr>
      </w:pPr>
      <w:r w:rsidRPr="002E1779">
        <w:rPr>
          <w:rFonts w:ascii="Cambria" w:hAnsi="Cambria"/>
          <w:b/>
          <w:color w:val="000000"/>
          <w:lang w:val="ru-RU"/>
        </w:rPr>
        <w:t>Ожидаемые</w:t>
      </w:r>
      <w:r w:rsidRPr="00124BD6">
        <w:rPr>
          <w:rFonts w:ascii="Cambria" w:eastAsia="Calibri" w:hAnsi="Cambria"/>
          <w:b/>
          <w:bCs/>
          <w:kern w:val="32"/>
          <w:lang w:val="ru-RU"/>
        </w:rPr>
        <w:t xml:space="preserve"> </w:t>
      </w:r>
      <w:r w:rsidRPr="00124BD6">
        <w:rPr>
          <w:rFonts w:ascii="Cambria" w:hAnsi="Cambria"/>
          <w:b/>
          <w:color w:val="000000"/>
          <w:lang w:val="ru-RU"/>
        </w:rPr>
        <w:t>результаты</w:t>
      </w:r>
    </w:p>
    <w:p w14:paraId="02171458" w14:textId="78CE67D1" w:rsidR="00685645" w:rsidRPr="000A6A6D" w:rsidRDefault="00685645" w:rsidP="00AC5B06">
      <w:pPr>
        <w:spacing w:line="360" w:lineRule="auto"/>
        <w:jc w:val="both"/>
        <w:rPr>
          <w:rFonts w:ascii="Cambria" w:hAnsi="Cambria" w:cs="Calibri"/>
          <w:bCs/>
          <w:snapToGrid w:val="0"/>
          <w:lang w:val="ru-RU"/>
        </w:rPr>
      </w:pPr>
      <w:r w:rsidRPr="00124BD6">
        <w:rPr>
          <w:rFonts w:ascii="Cambria" w:hAnsi="Cambria"/>
          <w:lang w:val="ru-RU"/>
        </w:rPr>
        <w:t>Предполагается, что консультант разработает содержание курса</w:t>
      </w:r>
      <w:r w:rsidRPr="00124BD6">
        <w:rPr>
          <w:rFonts w:ascii="Cambria" w:hAnsi="Cambria"/>
          <w:color w:val="000000"/>
          <w:lang w:val="ru-RU"/>
        </w:rPr>
        <w:t xml:space="preserve"> «</w:t>
      </w:r>
      <w:r w:rsidR="00C72A1F">
        <w:rPr>
          <w:rFonts w:ascii="Cambria" w:hAnsi="Cambria"/>
          <w:lang w:val="ru-RU"/>
        </w:rPr>
        <w:t>ТБ и миграция</w:t>
      </w:r>
      <w:r w:rsidRPr="00124BD6">
        <w:rPr>
          <w:rFonts w:ascii="Cambria" w:hAnsi="Cambria"/>
          <w:color w:val="000000"/>
          <w:lang w:val="ru-RU"/>
        </w:rPr>
        <w:t>»</w:t>
      </w:r>
      <w:r w:rsidRPr="00124BD6">
        <w:rPr>
          <w:rFonts w:ascii="Cambria" w:hAnsi="Cambria"/>
          <w:lang w:val="ru-RU"/>
        </w:rPr>
        <w:t>, поддержит его загрузку и осуществит пробный запуск.</w:t>
      </w:r>
    </w:p>
    <w:p w14:paraId="5F9E6E1A" w14:textId="77777777" w:rsidR="00EC35B9" w:rsidRPr="00124BD6" w:rsidRDefault="00EC35B9" w:rsidP="002E1779">
      <w:pPr>
        <w:pStyle w:val="ListParagraph"/>
        <w:numPr>
          <w:ilvl w:val="0"/>
          <w:numId w:val="11"/>
        </w:numPr>
        <w:spacing w:before="360" w:after="360"/>
        <w:contextualSpacing w:val="0"/>
        <w:jc w:val="both"/>
        <w:rPr>
          <w:rFonts w:ascii="Cambria" w:eastAsia="Calibri" w:hAnsi="Cambria"/>
          <w:b/>
          <w:bCs/>
          <w:kern w:val="32"/>
          <w:lang w:val="ru-RU"/>
        </w:rPr>
      </w:pPr>
      <w:r w:rsidRPr="00124BD6">
        <w:rPr>
          <w:rFonts w:ascii="Cambria" w:eastAsia="Calibri" w:hAnsi="Cambria"/>
          <w:b/>
          <w:bCs/>
          <w:kern w:val="32"/>
          <w:lang w:val="ru-RU"/>
        </w:rPr>
        <w:lastRenderedPageBreak/>
        <w:t xml:space="preserve">Подлежащие </w:t>
      </w:r>
      <w:r w:rsidRPr="00124BD6">
        <w:rPr>
          <w:rFonts w:ascii="Cambria" w:hAnsi="Cambria"/>
          <w:b/>
          <w:color w:val="000000"/>
          <w:lang w:val="ru-RU"/>
        </w:rPr>
        <w:t>сдаче</w:t>
      </w:r>
      <w:r w:rsidRPr="00124BD6">
        <w:rPr>
          <w:rFonts w:ascii="Cambria" w:eastAsia="Calibri" w:hAnsi="Cambria"/>
          <w:b/>
          <w:bCs/>
          <w:kern w:val="32"/>
          <w:lang w:val="ru-RU"/>
        </w:rPr>
        <w:t xml:space="preserve"> итоговые материалы задания: </w:t>
      </w:r>
    </w:p>
    <w:p w14:paraId="01799A2B" w14:textId="77777777" w:rsidR="00EC35B9" w:rsidRPr="00124BD6" w:rsidRDefault="00EC35B9" w:rsidP="00AC5B06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Учебный план курса;</w:t>
      </w:r>
    </w:p>
    <w:p w14:paraId="311C10BB" w14:textId="24A21F07" w:rsidR="00EC35B9" w:rsidRPr="00124BD6" w:rsidRDefault="00EC35B9" w:rsidP="00AC5B06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Содержание курса «</w:t>
      </w:r>
      <w:r w:rsidR="00C72A1F">
        <w:rPr>
          <w:rFonts w:ascii="Cambria" w:hAnsi="Cambria"/>
          <w:color w:val="000000"/>
          <w:lang w:val="ru-RU"/>
        </w:rPr>
        <w:t>ТБ и миграция</w:t>
      </w:r>
      <w:r w:rsidRPr="00124BD6">
        <w:rPr>
          <w:rFonts w:ascii="Cambria" w:hAnsi="Cambria"/>
          <w:color w:val="000000"/>
          <w:lang w:val="ru-RU"/>
        </w:rPr>
        <w:t>» (ознакомительные видео</w:t>
      </w:r>
      <w:r w:rsidR="00260C6D">
        <w:rPr>
          <w:rFonts w:ascii="Cambria" w:hAnsi="Cambria"/>
          <w:color w:val="000000"/>
          <w:lang w:val="ru-RU"/>
        </w:rPr>
        <w:t>лекции, основные видео</w:t>
      </w:r>
      <w:r w:rsidRPr="00124BD6">
        <w:rPr>
          <w:rFonts w:ascii="Cambria" w:hAnsi="Cambria"/>
          <w:color w:val="000000"/>
          <w:lang w:val="ru-RU"/>
        </w:rPr>
        <w:t>лекции, вопросы и ответы, зачеты/тесты и презентации в PowerPoint, а также другие соответствующие материалы на английском и русском языках), в соответствии с концепцией и техническими параметрами курса;</w:t>
      </w:r>
    </w:p>
    <w:p w14:paraId="1CBA96C0" w14:textId="77777777" w:rsidR="00EC35B9" w:rsidRPr="00124BD6" w:rsidRDefault="00EC35B9" w:rsidP="00AC5B06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color w:val="000000"/>
          <w:lang w:val="ru-RU"/>
        </w:rPr>
      </w:pPr>
      <w:r w:rsidRPr="00124BD6">
        <w:rPr>
          <w:rFonts w:ascii="Cambria" w:hAnsi="Cambria"/>
          <w:color w:val="000000"/>
          <w:lang w:val="ru-RU"/>
        </w:rPr>
        <w:t>Пробный запуск курса и окончательные корректировки.</w:t>
      </w:r>
    </w:p>
    <w:p w14:paraId="3D36074C" w14:textId="77777777" w:rsidR="00EC35B9" w:rsidRPr="00903D41" w:rsidRDefault="00EC35B9" w:rsidP="00AC5B06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lang w:val="ru-RU"/>
        </w:rPr>
      </w:pPr>
      <w:r w:rsidRPr="00124BD6">
        <w:rPr>
          <w:rFonts w:ascii="Cambria" w:hAnsi="Cambria"/>
          <w:color w:val="000000"/>
          <w:lang w:val="ru-RU"/>
        </w:rPr>
        <w:t>Полностью функционирующий</w:t>
      </w:r>
      <w:r w:rsidRPr="00124BD6">
        <w:rPr>
          <w:rFonts w:ascii="Cambria" w:hAnsi="Cambria"/>
          <w:lang w:val="ru-RU"/>
        </w:rPr>
        <w:t xml:space="preserve"> онлайн-курс на платформе «</w:t>
      </w:r>
      <w:r w:rsidRPr="00124BD6">
        <w:rPr>
          <w:rFonts w:ascii="Cambria" w:hAnsi="Cambria"/>
        </w:rPr>
        <w:t>Teach</w:t>
      </w:r>
      <w:r w:rsidRPr="00903D41">
        <w:rPr>
          <w:rFonts w:ascii="Cambria" w:hAnsi="Cambria"/>
          <w:lang w:val="ru-RU"/>
        </w:rPr>
        <w:t xml:space="preserve"> </w:t>
      </w:r>
      <w:r w:rsidRPr="00124BD6">
        <w:rPr>
          <w:rFonts w:ascii="Cambria" w:hAnsi="Cambria"/>
        </w:rPr>
        <w:t>Me</w:t>
      </w:r>
      <w:r w:rsidRPr="00903D41">
        <w:rPr>
          <w:rFonts w:ascii="Cambria" w:hAnsi="Cambria"/>
          <w:lang w:val="ru-RU"/>
        </w:rPr>
        <w:t xml:space="preserve"> </w:t>
      </w:r>
      <w:r w:rsidRPr="00124BD6">
        <w:rPr>
          <w:rFonts w:ascii="Cambria" w:hAnsi="Cambria"/>
        </w:rPr>
        <w:t>TB</w:t>
      </w:r>
      <w:r w:rsidRPr="00124BD6">
        <w:rPr>
          <w:rFonts w:ascii="Cambria" w:hAnsi="Cambria"/>
          <w:lang w:val="ru-RU"/>
        </w:rPr>
        <w:t>»</w:t>
      </w:r>
      <w:r w:rsidRPr="00903D41">
        <w:rPr>
          <w:rFonts w:ascii="Cambria" w:hAnsi="Cambria"/>
          <w:lang w:val="ru-RU"/>
        </w:rPr>
        <w:t xml:space="preserve"> (</w:t>
      </w:r>
      <w:r w:rsidRPr="00124BD6">
        <w:rPr>
          <w:rFonts w:ascii="Cambria" w:hAnsi="Cambria"/>
          <w:lang w:val="ru-RU"/>
        </w:rPr>
        <w:t>включая пробный запуск курса и окончательные корректировки)</w:t>
      </w:r>
      <w:r w:rsidRPr="00903D41">
        <w:rPr>
          <w:rFonts w:ascii="Cambria" w:hAnsi="Cambria"/>
          <w:lang w:val="ru-RU"/>
        </w:rPr>
        <w:t xml:space="preserve">. </w:t>
      </w:r>
    </w:p>
    <w:p w14:paraId="38FF3500" w14:textId="77777777" w:rsidR="00EC35B9" w:rsidRPr="00124BD6" w:rsidRDefault="00EC35B9" w:rsidP="00AC5B06">
      <w:pPr>
        <w:spacing w:line="360" w:lineRule="auto"/>
        <w:jc w:val="both"/>
        <w:rPr>
          <w:rFonts w:ascii="Cambria" w:hAnsi="Cambria"/>
          <w:lang w:val="ru-RU"/>
        </w:rPr>
      </w:pPr>
      <w:r w:rsidRPr="00124BD6">
        <w:rPr>
          <w:rFonts w:ascii="Cambria" w:hAnsi="Cambria"/>
          <w:lang w:val="ru-RU"/>
        </w:rPr>
        <w:t xml:space="preserve">Итоговые материалы должны быть представлены </w:t>
      </w:r>
      <w:r w:rsidRPr="00903D41">
        <w:rPr>
          <w:rFonts w:ascii="Cambria" w:hAnsi="Cambria"/>
          <w:lang w:val="ru-RU"/>
        </w:rPr>
        <w:t>на английском и русском языках</w:t>
      </w:r>
      <w:r w:rsidRPr="00124BD6">
        <w:rPr>
          <w:rFonts w:ascii="Cambria" w:hAnsi="Cambria"/>
          <w:lang w:val="ru-RU"/>
        </w:rPr>
        <w:t>.</w:t>
      </w:r>
      <w:r w:rsidRPr="00903D41">
        <w:rPr>
          <w:rFonts w:ascii="Cambria" w:hAnsi="Cambria"/>
          <w:lang w:val="ru-RU"/>
        </w:rPr>
        <w:t xml:space="preserve"> </w:t>
      </w:r>
    </w:p>
    <w:p w14:paraId="335415FA" w14:textId="77777777" w:rsidR="00EC35B9" w:rsidRPr="00124BD6" w:rsidRDefault="00EC35B9" w:rsidP="002E1779">
      <w:pPr>
        <w:pStyle w:val="ListParagraph"/>
        <w:numPr>
          <w:ilvl w:val="0"/>
          <w:numId w:val="11"/>
        </w:numPr>
        <w:spacing w:before="360" w:after="360"/>
        <w:contextualSpacing w:val="0"/>
        <w:jc w:val="both"/>
        <w:rPr>
          <w:rFonts w:ascii="Cambria" w:eastAsia="Calibri" w:hAnsi="Cambria"/>
          <w:b/>
          <w:bCs/>
          <w:kern w:val="32"/>
          <w:lang w:val="ru-RU"/>
        </w:rPr>
      </w:pPr>
      <w:r w:rsidRPr="002E1779">
        <w:rPr>
          <w:rFonts w:ascii="Cambria" w:hAnsi="Cambria"/>
          <w:b/>
          <w:color w:val="000000"/>
          <w:lang w:val="ru-RU"/>
        </w:rPr>
        <w:t>График</w:t>
      </w:r>
      <w:r w:rsidRPr="00124BD6">
        <w:rPr>
          <w:rFonts w:ascii="Cambria" w:eastAsia="Calibri" w:hAnsi="Cambria"/>
          <w:b/>
          <w:bCs/>
          <w:kern w:val="32"/>
          <w:lang w:val="ru-RU"/>
        </w:rPr>
        <w:t xml:space="preserve"> оплаты</w:t>
      </w:r>
    </w:p>
    <w:p w14:paraId="20F28045" w14:textId="77777777" w:rsidR="00903D41" w:rsidRPr="00903D41" w:rsidRDefault="00903D41" w:rsidP="00903D41">
      <w:pPr>
        <w:spacing w:line="360" w:lineRule="auto"/>
        <w:jc w:val="both"/>
        <w:rPr>
          <w:rFonts w:ascii="Cambria" w:hAnsi="Cambria" w:cs="Calibri"/>
          <w:bCs/>
          <w:snapToGrid w:val="0"/>
          <w:lang w:val="ru-RU"/>
        </w:rPr>
      </w:pPr>
      <w:r w:rsidRPr="00903D41">
        <w:rPr>
          <w:rFonts w:ascii="Cambria" w:hAnsi="Cambria" w:cs="Calibri"/>
          <w:bCs/>
          <w:snapToGrid w:val="0"/>
          <w:lang w:val="ru-RU"/>
        </w:rPr>
        <w:t>Начало и утверждение проекта – 10%</w:t>
      </w:r>
    </w:p>
    <w:p w14:paraId="676FB940" w14:textId="473E6D02" w:rsidR="00903D41" w:rsidRDefault="00903D41" w:rsidP="00903D41">
      <w:pPr>
        <w:spacing w:line="360" w:lineRule="auto"/>
        <w:jc w:val="both"/>
        <w:rPr>
          <w:rFonts w:ascii="Cambria" w:hAnsi="Cambria" w:cs="Calibri"/>
          <w:bCs/>
          <w:snapToGrid w:val="0"/>
          <w:lang w:val="ru-RU"/>
        </w:rPr>
      </w:pPr>
      <w:r w:rsidRPr="00903D41">
        <w:rPr>
          <w:rFonts w:ascii="Cambria" w:hAnsi="Cambria" w:cs="Calibri"/>
          <w:bCs/>
          <w:snapToGrid w:val="0"/>
          <w:lang w:val="ru-RU"/>
        </w:rPr>
        <w:t>Разработка, пробный запуск и окончательный отчет – 90%.</w:t>
      </w:r>
    </w:p>
    <w:p w14:paraId="40E8D00D" w14:textId="77777777" w:rsidR="00903D41" w:rsidRPr="00124BD6" w:rsidRDefault="00903D41" w:rsidP="00903D41">
      <w:pPr>
        <w:spacing w:line="360" w:lineRule="auto"/>
        <w:jc w:val="both"/>
        <w:rPr>
          <w:rFonts w:ascii="Cambria" w:hAnsi="Cambria" w:cs="Calibri"/>
          <w:bCs/>
          <w:snapToGrid w:val="0"/>
          <w:lang w:val="ru-RU"/>
        </w:rPr>
      </w:pPr>
    </w:p>
    <w:p w14:paraId="4CDCAF1C" w14:textId="6679CDEA" w:rsidR="00EC35B9" w:rsidRPr="00903D41" w:rsidRDefault="00EC35B9" w:rsidP="002E1779">
      <w:pPr>
        <w:spacing w:line="360" w:lineRule="auto"/>
        <w:jc w:val="both"/>
        <w:rPr>
          <w:rFonts w:ascii="Cambria" w:hAnsi="Cambria" w:cs="Calibri"/>
          <w:bCs/>
          <w:snapToGrid w:val="0"/>
          <w:lang w:val="ru-RU"/>
        </w:rPr>
      </w:pPr>
      <w:r w:rsidRPr="005B1E31">
        <w:rPr>
          <w:rFonts w:ascii="Cambria" w:hAnsi="Cambria" w:cs="Calibri"/>
          <w:bCs/>
          <w:snapToGrid w:val="0"/>
          <w:lang w:val="ru-RU"/>
        </w:rPr>
        <w:t>Оплата работы консультанта / консультантов по данному Т</w:t>
      </w:r>
      <w:r w:rsidRPr="00124BD6">
        <w:rPr>
          <w:rFonts w:ascii="Cambria" w:hAnsi="Cambria" w:cs="Calibri"/>
          <w:bCs/>
          <w:snapToGrid w:val="0"/>
          <w:lang w:val="ru-RU"/>
        </w:rPr>
        <w:t xml:space="preserve">ехническому заданию </w:t>
      </w:r>
      <w:r w:rsidRPr="005B1E31">
        <w:rPr>
          <w:rFonts w:ascii="Cambria" w:hAnsi="Cambria" w:cs="Calibri"/>
          <w:bCs/>
          <w:snapToGrid w:val="0"/>
          <w:lang w:val="ru-RU"/>
        </w:rPr>
        <w:t xml:space="preserve">будет </w:t>
      </w:r>
      <w:r w:rsidRPr="002E1779">
        <w:rPr>
          <w:rFonts w:ascii="Cambria" w:hAnsi="Cambria" w:cs="Calibri"/>
          <w:bCs/>
          <w:snapToGrid w:val="0"/>
          <w:lang w:val="ru-RU"/>
        </w:rPr>
        <w:t>определяться</w:t>
      </w:r>
      <w:r w:rsidRPr="005B1E31">
        <w:rPr>
          <w:rFonts w:ascii="Cambria" w:hAnsi="Cambria" w:cs="Calibri"/>
          <w:bCs/>
          <w:snapToGrid w:val="0"/>
          <w:lang w:val="ru-RU"/>
        </w:rPr>
        <w:t xml:space="preserve"> на основании результатов </w:t>
      </w:r>
      <w:r w:rsidRPr="00124BD6">
        <w:rPr>
          <w:rFonts w:ascii="Cambria" w:hAnsi="Cambria" w:cs="Calibri"/>
          <w:bCs/>
          <w:snapToGrid w:val="0"/>
          <w:lang w:val="ru-RU"/>
        </w:rPr>
        <w:t>конкурса</w:t>
      </w:r>
      <w:r w:rsidRPr="005B1E31">
        <w:rPr>
          <w:rFonts w:ascii="Cambria" w:hAnsi="Cambria" w:cs="Calibri"/>
          <w:bCs/>
          <w:snapToGrid w:val="0"/>
          <w:lang w:val="ru-RU"/>
        </w:rPr>
        <w:t xml:space="preserve">. </w:t>
      </w:r>
      <w:r w:rsidR="003E0440" w:rsidRPr="00903D41">
        <w:rPr>
          <w:rFonts w:ascii="Cambria" w:hAnsi="Cambria" w:cs="Calibri"/>
          <w:bCs/>
          <w:snapToGrid w:val="0"/>
          <w:lang w:val="ru-RU"/>
        </w:rPr>
        <w:t>Окончательная стоимость консультационных услуг может быть согласована между сторонами.</w:t>
      </w:r>
    </w:p>
    <w:p w14:paraId="69DD80D8" w14:textId="77777777" w:rsidR="005B1E31" w:rsidRPr="00903D41" w:rsidRDefault="005B1E31" w:rsidP="002E1779">
      <w:pPr>
        <w:spacing w:line="360" w:lineRule="auto"/>
        <w:jc w:val="both"/>
        <w:rPr>
          <w:rFonts w:ascii="Cambria" w:hAnsi="Cambria" w:cs="Calibri"/>
          <w:bCs/>
          <w:snapToGrid w:val="0"/>
          <w:lang w:val="ru-RU"/>
        </w:rPr>
      </w:pPr>
    </w:p>
    <w:p w14:paraId="56148BFB" w14:textId="3A73D269" w:rsidR="003A7E11" w:rsidRPr="00903D41" w:rsidRDefault="00EC35B9" w:rsidP="00AC5B06">
      <w:pPr>
        <w:spacing w:line="360" w:lineRule="auto"/>
        <w:jc w:val="both"/>
        <w:rPr>
          <w:rFonts w:ascii="Cambria" w:eastAsia="Calibri" w:hAnsi="Cambria"/>
          <w:lang w:val="ru-RU"/>
        </w:rPr>
      </w:pPr>
      <w:bookmarkStart w:id="6" w:name="_Hlk38591532"/>
      <w:r w:rsidRPr="00124BD6">
        <w:rPr>
          <w:rFonts w:ascii="Cambria" w:eastAsia="Calibri" w:hAnsi="Cambria"/>
          <w:lang w:val="ru-RU"/>
        </w:rPr>
        <w:t>Заинтересованные кандидаты должны отправить свое резюме, мотивационное письмо и методологию, а также концептуальную структуру курса «</w:t>
      </w:r>
      <w:r w:rsidR="00C72A1F">
        <w:rPr>
          <w:rFonts w:ascii="Cambria" w:hAnsi="Cambria"/>
          <w:lang w:val="ru-RU"/>
        </w:rPr>
        <w:t>ТБ и миграция</w:t>
      </w:r>
      <w:r w:rsidRPr="00124BD6">
        <w:rPr>
          <w:rFonts w:ascii="Cambria" w:eastAsia="Calibri" w:hAnsi="Cambria"/>
          <w:lang w:val="ru-RU"/>
        </w:rPr>
        <w:t xml:space="preserve">» по адресу электронной почты: </w:t>
      </w:r>
      <w:r w:rsidRPr="00124BD6">
        <w:rPr>
          <w:rStyle w:val="Hyperlink"/>
          <w:rFonts w:ascii="Cambria" w:eastAsia="Calibri" w:hAnsi="Cambria"/>
          <w:lang w:val="ru-RU"/>
        </w:rPr>
        <w:t>tbpeople.ge@gmail.com</w:t>
      </w:r>
      <w:r w:rsidRPr="00124BD6">
        <w:rPr>
          <w:rFonts w:ascii="Cambria" w:eastAsia="Calibri" w:hAnsi="Cambria"/>
          <w:lang w:val="ru-RU"/>
        </w:rPr>
        <w:t xml:space="preserve"> до </w:t>
      </w:r>
      <w:r w:rsidR="001C1D6E">
        <w:rPr>
          <w:rFonts w:ascii="Cambria" w:eastAsia="Calibri" w:hAnsi="Cambria"/>
          <w:lang w:val="ru-RU"/>
        </w:rPr>
        <w:t>15 июля,</w:t>
      </w:r>
      <w:r w:rsidRPr="00124BD6">
        <w:rPr>
          <w:rFonts w:ascii="Cambria" w:eastAsia="Calibri" w:hAnsi="Cambria"/>
          <w:lang w:val="ru-RU"/>
        </w:rPr>
        <w:t xml:space="preserve"> 2020 года, указав в качестве темы «Консультант по разработке электронного курса «</w:t>
      </w:r>
      <w:r w:rsidR="00C72A1F">
        <w:rPr>
          <w:rFonts w:ascii="Cambria" w:hAnsi="Cambria"/>
          <w:lang w:val="ru-RU"/>
        </w:rPr>
        <w:t>ТБ и миграция</w:t>
      </w:r>
      <w:r w:rsidRPr="00124BD6">
        <w:rPr>
          <w:rFonts w:ascii="Cambria" w:eastAsia="Calibri" w:hAnsi="Cambria"/>
          <w:lang w:val="ru-RU"/>
        </w:rPr>
        <w:t>»».</w:t>
      </w:r>
      <w:bookmarkEnd w:id="0"/>
      <w:bookmarkEnd w:id="6"/>
    </w:p>
    <w:sectPr w:rsidR="003A7E11" w:rsidRPr="00903D41" w:rsidSect="00CF00B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4BD46" w14:textId="77777777" w:rsidR="00F93724" w:rsidRDefault="00F93724" w:rsidP="00093D9C">
      <w:r>
        <w:separator/>
      </w:r>
    </w:p>
  </w:endnote>
  <w:endnote w:type="continuationSeparator" w:id="0">
    <w:p w14:paraId="0601FA21" w14:textId="77777777" w:rsidR="00F93724" w:rsidRDefault="00F93724" w:rsidP="0009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LNMBM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19B65" w14:textId="77777777" w:rsidR="00F93724" w:rsidRDefault="00F93724" w:rsidP="00093D9C">
      <w:r>
        <w:separator/>
      </w:r>
    </w:p>
  </w:footnote>
  <w:footnote w:type="continuationSeparator" w:id="0">
    <w:p w14:paraId="1EF8FFFE" w14:textId="77777777" w:rsidR="00F93724" w:rsidRDefault="00F93724" w:rsidP="00093D9C">
      <w:r>
        <w:continuationSeparator/>
      </w:r>
    </w:p>
  </w:footnote>
  <w:footnote w:id="1">
    <w:p w14:paraId="7E8E441D" w14:textId="77777777" w:rsidR="007C48E1" w:rsidRPr="008309E1" w:rsidRDefault="007C48E1" w:rsidP="007C48E1">
      <w:pPr>
        <w:pStyle w:val="FootnoteText"/>
        <w:rPr>
          <w:rFonts w:ascii="Cambria" w:hAnsi="Cambria"/>
          <w:lang w:val="en-US"/>
        </w:rPr>
      </w:pPr>
      <w:r w:rsidRPr="008309E1">
        <w:rPr>
          <w:rStyle w:val="FootnoteReference"/>
          <w:rFonts w:ascii="Cambria" w:hAnsi="Cambria"/>
        </w:rPr>
        <w:footnoteRef/>
      </w:r>
      <w:r w:rsidRPr="008309E1">
        <w:rPr>
          <w:rFonts w:ascii="Cambria" w:hAnsi="Cambria"/>
        </w:rPr>
        <w:t xml:space="preserve"> </w:t>
      </w:r>
      <w:r w:rsidRPr="008E09E6">
        <w:rPr>
          <w:rFonts w:ascii="Cambria" w:hAnsi="Cambria"/>
          <w:lang w:val="en-US"/>
        </w:rPr>
        <w:t xml:space="preserve">C. D. Acosta et al, Drug-resistant tuberculosis in Eastern Europe: challenges and ways forward. Public Health Action. 2014 Oct 21; 4(Suppl 2): S3–S12. </w:t>
      </w:r>
      <w:hyperlink r:id="rId1" w:history="1">
        <w:r w:rsidRPr="00E24362">
          <w:rPr>
            <w:rStyle w:val="Hyperlink"/>
            <w:rFonts w:ascii="Cambria" w:hAnsi="Cambria"/>
            <w:lang w:val="en-US"/>
          </w:rPr>
          <w:t>https://www.ncbi.nlm.nih.gov/pmc/articles/PMC4547509/</w:t>
        </w:r>
      </w:hyperlink>
      <w:r>
        <w:rPr>
          <w:rFonts w:ascii="Cambria" w:hAnsi="Cambria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14E7"/>
    <w:multiLevelType w:val="hybridMultilevel"/>
    <w:tmpl w:val="1F3A78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75360F"/>
    <w:multiLevelType w:val="hybridMultilevel"/>
    <w:tmpl w:val="131C85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6688"/>
    <w:multiLevelType w:val="hybridMultilevel"/>
    <w:tmpl w:val="B8007B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33AE0"/>
    <w:multiLevelType w:val="hybridMultilevel"/>
    <w:tmpl w:val="370ACA18"/>
    <w:lvl w:ilvl="0" w:tplc="A91E5780">
      <w:start w:val="5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709EC"/>
    <w:multiLevelType w:val="hybridMultilevel"/>
    <w:tmpl w:val="B8007B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B2B65"/>
    <w:multiLevelType w:val="hybridMultilevel"/>
    <w:tmpl w:val="083434DA"/>
    <w:lvl w:ilvl="0" w:tplc="F9FCE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33FF5"/>
    <w:multiLevelType w:val="hybridMultilevel"/>
    <w:tmpl w:val="B8007B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9357D"/>
    <w:multiLevelType w:val="hybridMultilevel"/>
    <w:tmpl w:val="56824A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C0A94"/>
    <w:multiLevelType w:val="hybridMultilevel"/>
    <w:tmpl w:val="E20C8F7A"/>
    <w:lvl w:ilvl="0" w:tplc="BF48A71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74D3D"/>
    <w:multiLevelType w:val="hybridMultilevel"/>
    <w:tmpl w:val="B8007B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75795"/>
    <w:multiLevelType w:val="hybridMultilevel"/>
    <w:tmpl w:val="5EDA4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38C3"/>
    <w:multiLevelType w:val="hybridMultilevel"/>
    <w:tmpl w:val="823CA7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0088D"/>
    <w:multiLevelType w:val="hybridMultilevel"/>
    <w:tmpl w:val="CE54E0EA"/>
    <w:lvl w:ilvl="0" w:tplc="1C540B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1085E"/>
    <w:multiLevelType w:val="hybridMultilevel"/>
    <w:tmpl w:val="51B880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B7A7FAC">
      <w:numFmt w:val="bullet"/>
      <w:lvlText w:val="•"/>
      <w:lvlJc w:val="left"/>
      <w:pPr>
        <w:ind w:left="2160" w:hanging="360"/>
      </w:pPr>
      <w:rPr>
        <w:rFonts w:ascii="Cambria" w:eastAsiaTheme="minorHAnsi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406BF8"/>
    <w:multiLevelType w:val="hybridMultilevel"/>
    <w:tmpl w:val="B8007B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3060F"/>
    <w:multiLevelType w:val="hybridMultilevel"/>
    <w:tmpl w:val="AD788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809EB"/>
    <w:multiLevelType w:val="hybridMultilevel"/>
    <w:tmpl w:val="B8007B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F53D9"/>
    <w:multiLevelType w:val="hybridMultilevel"/>
    <w:tmpl w:val="FB6277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A78E2"/>
    <w:multiLevelType w:val="hybridMultilevel"/>
    <w:tmpl w:val="8DFEB1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C2E41"/>
    <w:multiLevelType w:val="hybridMultilevel"/>
    <w:tmpl w:val="005641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B7A7FAC">
      <w:numFmt w:val="bullet"/>
      <w:lvlText w:val="•"/>
      <w:lvlJc w:val="left"/>
      <w:pPr>
        <w:ind w:left="2160" w:hanging="360"/>
      </w:pPr>
      <w:rPr>
        <w:rFonts w:ascii="Cambria" w:eastAsiaTheme="minorHAnsi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F13EF1"/>
    <w:multiLevelType w:val="hybridMultilevel"/>
    <w:tmpl w:val="C01A60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D12BE"/>
    <w:multiLevelType w:val="hybridMultilevel"/>
    <w:tmpl w:val="ED92B348"/>
    <w:lvl w:ilvl="0" w:tplc="3D94B3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7"/>
  </w:num>
  <w:num w:numId="4">
    <w:abstractNumId w:val="1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5"/>
  </w:num>
  <w:num w:numId="7">
    <w:abstractNumId w:val="21"/>
  </w:num>
  <w:num w:numId="8">
    <w:abstractNumId w:val="12"/>
  </w:num>
  <w:num w:numId="9">
    <w:abstractNumId w:val="5"/>
  </w:num>
  <w:num w:numId="10">
    <w:abstractNumId w:val="19"/>
  </w:num>
  <w:num w:numId="11">
    <w:abstractNumId w:val="16"/>
  </w:num>
  <w:num w:numId="12">
    <w:abstractNumId w:val="7"/>
  </w:num>
  <w:num w:numId="13">
    <w:abstractNumId w:val="11"/>
  </w:num>
  <w:num w:numId="14">
    <w:abstractNumId w:val="10"/>
  </w:num>
  <w:num w:numId="15">
    <w:abstractNumId w:val="13"/>
  </w:num>
  <w:num w:numId="16">
    <w:abstractNumId w:val="3"/>
  </w:num>
  <w:num w:numId="17">
    <w:abstractNumId w:val="4"/>
  </w:num>
  <w:num w:numId="18">
    <w:abstractNumId w:val="0"/>
  </w:num>
  <w:num w:numId="19">
    <w:abstractNumId w:val="2"/>
  </w:num>
  <w:num w:numId="20">
    <w:abstractNumId w:val="6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9C"/>
    <w:rsid w:val="00013F42"/>
    <w:rsid w:val="00017C1F"/>
    <w:rsid w:val="00051728"/>
    <w:rsid w:val="00052501"/>
    <w:rsid w:val="00086D4A"/>
    <w:rsid w:val="0009089B"/>
    <w:rsid w:val="00093D9C"/>
    <w:rsid w:val="000A05CD"/>
    <w:rsid w:val="000A6A6D"/>
    <w:rsid w:val="000C72C9"/>
    <w:rsid w:val="000E2576"/>
    <w:rsid w:val="000F07C9"/>
    <w:rsid w:val="000F56CA"/>
    <w:rsid w:val="001173FF"/>
    <w:rsid w:val="00124BD6"/>
    <w:rsid w:val="00126A6B"/>
    <w:rsid w:val="00137704"/>
    <w:rsid w:val="00160B3A"/>
    <w:rsid w:val="001808F3"/>
    <w:rsid w:val="00190B9A"/>
    <w:rsid w:val="001959E3"/>
    <w:rsid w:val="001A676B"/>
    <w:rsid w:val="001A6BC8"/>
    <w:rsid w:val="001C1D6E"/>
    <w:rsid w:val="001C6ECC"/>
    <w:rsid w:val="001D2950"/>
    <w:rsid w:val="001D51AA"/>
    <w:rsid w:val="001D6A0C"/>
    <w:rsid w:val="00253BFB"/>
    <w:rsid w:val="00260C6D"/>
    <w:rsid w:val="002752DE"/>
    <w:rsid w:val="00281B77"/>
    <w:rsid w:val="002C658E"/>
    <w:rsid w:val="002E1779"/>
    <w:rsid w:val="00302499"/>
    <w:rsid w:val="00335FF1"/>
    <w:rsid w:val="00351558"/>
    <w:rsid w:val="00356219"/>
    <w:rsid w:val="003757F9"/>
    <w:rsid w:val="00376DA3"/>
    <w:rsid w:val="003814BE"/>
    <w:rsid w:val="003A03E3"/>
    <w:rsid w:val="003A6A93"/>
    <w:rsid w:val="003A7E11"/>
    <w:rsid w:val="003D0B0B"/>
    <w:rsid w:val="003D5621"/>
    <w:rsid w:val="003E0440"/>
    <w:rsid w:val="003E053C"/>
    <w:rsid w:val="00405451"/>
    <w:rsid w:val="00421357"/>
    <w:rsid w:val="004421ED"/>
    <w:rsid w:val="004516D6"/>
    <w:rsid w:val="0045544A"/>
    <w:rsid w:val="00461855"/>
    <w:rsid w:val="0047276A"/>
    <w:rsid w:val="0048152F"/>
    <w:rsid w:val="004868EF"/>
    <w:rsid w:val="004877CD"/>
    <w:rsid w:val="004A7D54"/>
    <w:rsid w:val="004B7055"/>
    <w:rsid w:val="004C519D"/>
    <w:rsid w:val="004D20AE"/>
    <w:rsid w:val="004E0089"/>
    <w:rsid w:val="004F38DC"/>
    <w:rsid w:val="0050190F"/>
    <w:rsid w:val="00532FD9"/>
    <w:rsid w:val="00537575"/>
    <w:rsid w:val="005641AC"/>
    <w:rsid w:val="00570E79"/>
    <w:rsid w:val="005822E7"/>
    <w:rsid w:val="005860C8"/>
    <w:rsid w:val="0059407F"/>
    <w:rsid w:val="005B1E31"/>
    <w:rsid w:val="005D1AA9"/>
    <w:rsid w:val="005D4F5C"/>
    <w:rsid w:val="005D5A33"/>
    <w:rsid w:val="005E4615"/>
    <w:rsid w:val="005F29DB"/>
    <w:rsid w:val="006079F6"/>
    <w:rsid w:val="006258BA"/>
    <w:rsid w:val="00626522"/>
    <w:rsid w:val="00630787"/>
    <w:rsid w:val="006321E8"/>
    <w:rsid w:val="006612AC"/>
    <w:rsid w:val="00671746"/>
    <w:rsid w:val="00685645"/>
    <w:rsid w:val="006D3AD9"/>
    <w:rsid w:val="006E62B9"/>
    <w:rsid w:val="00700CBE"/>
    <w:rsid w:val="00713EB5"/>
    <w:rsid w:val="00747EFD"/>
    <w:rsid w:val="00753F80"/>
    <w:rsid w:val="00755D72"/>
    <w:rsid w:val="007A4705"/>
    <w:rsid w:val="007B6FAF"/>
    <w:rsid w:val="007B7D12"/>
    <w:rsid w:val="007C187E"/>
    <w:rsid w:val="007C48E1"/>
    <w:rsid w:val="007D5879"/>
    <w:rsid w:val="007E3E60"/>
    <w:rsid w:val="008162A6"/>
    <w:rsid w:val="00820DE3"/>
    <w:rsid w:val="00832115"/>
    <w:rsid w:val="0083749F"/>
    <w:rsid w:val="00847F54"/>
    <w:rsid w:val="0088222C"/>
    <w:rsid w:val="00884BBC"/>
    <w:rsid w:val="008B0324"/>
    <w:rsid w:val="008C1119"/>
    <w:rsid w:val="008D2EDF"/>
    <w:rsid w:val="008D468E"/>
    <w:rsid w:val="008E25AF"/>
    <w:rsid w:val="00903D41"/>
    <w:rsid w:val="00913200"/>
    <w:rsid w:val="00917CCA"/>
    <w:rsid w:val="0094170C"/>
    <w:rsid w:val="0096276C"/>
    <w:rsid w:val="00973BC6"/>
    <w:rsid w:val="009B1E63"/>
    <w:rsid w:val="009B7308"/>
    <w:rsid w:val="009E5620"/>
    <w:rsid w:val="00A447A0"/>
    <w:rsid w:val="00A6498A"/>
    <w:rsid w:val="00AB127A"/>
    <w:rsid w:val="00AC4650"/>
    <w:rsid w:val="00AC5B06"/>
    <w:rsid w:val="00AD3D78"/>
    <w:rsid w:val="00AE4036"/>
    <w:rsid w:val="00B03926"/>
    <w:rsid w:val="00B05286"/>
    <w:rsid w:val="00B14A5F"/>
    <w:rsid w:val="00B15705"/>
    <w:rsid w:val="00B52AF4"/>
    <w:rsid w:val="00BA049C"/>
    <w:rsid w:val="00BD24A8"/>
    <w:rsid w:val="00C040F9"/>
    <w:rsid w:val="00C26477"/>
    <w:rsid w:val="00C40EF4"/>
    <w:rsid w:val="00C45DC2"/>
    <w:rsid w:val="00C72A1F"/>
    <w:rsid w:val="00C8235E"/>
    <w:rsid w:val="00C83C12"/>
    <w:rsid w:val="00C86A93"/>
    <w:rsid w:val="00CA7193"/>
    <w:rsid w:val="00CC5530"/>
    <w:rsid w:val="00CE34C5"/>
    <w:rsid w:val="00D23F1A"/>
    <w:rsid w:val="00D65A3A"/>
    <w:rsid w:val="00D858A8"/>
    <w:rsid w:val="00D94DD8"/>
    <w:rsid w:val="00DB49AA"/>
    <w:rsid w:val="00DC2DC6"/>
    <w:rsid w:val="00DC34A9"/>
    <w:rsid w:val="00DD3400"/>
    <w:rsid w:val="00E3072E"/>
    <w:rsid w:val="00E369BD"/>
    <w:rsid w:val="00E92EE5"/>
    <w:rsid w:val="00EC35B9"/>
    <w:rsid w:val="00EC4BAC"/>
    <w:rsid w:val="00EE0338"/>
    <w:rsid w:val="00EE7B88"/>
    <w:rsid w:val="00F10715"/>
    <w:rsid w:val="00F427A2"/>
    <w:rsid w:val="00F43205"/>
    <w:rsid w:val="00F56205"/>
    <w:rsid w:val="00F63EFC"/>
    <w:rsid w:val="00F65E20"/>
    <w:rsid w:val="00F704A1"/>
    <w:rsid w:val="00F80F56"/>
    <w:rsid w:val="00F85E11"/>
    <w:rsid w:val="00F93724"/>
    <w:rsid w:val="00FA029F"/>
    <w:rsid w:val="00FA75EE"/>
    <w:rsid w:val="00FC10B7"/>
    <w:rsid w:val="00FC7F8A"/>
    <w:rsid w:val="00FD142F"/>
    <w:rsid w:val="00FE2DBB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EA27C"/>
  <w15:docId w15:val="{59158DD0-BB3E-43B6-9CD8-1DC08B55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D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3D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B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3D9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3D9C"/>
    <w:rPr>
      <w:rFonts w:ascii="Calibri" w:eastAsia="Calibri" w:hAnsi="Calibri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3D9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093D9C"/>
    <w:rPr>
      <w:vertAlign w:val="superscript"/>
    </w:rPr>
  </w:style>
  <w:style w:type="character" w:styleId="Hyperlink">
    <w:name w:val="Hyperlink"/>
    <w:uiPriority w:val="99"/>
    <w:unhideWhenUsed/>
    <w:rsid w:val="00093D9C"/>
    <w:rPr>
      <w:color w:val="0000FF"/>
      <w:u w:val="single"/>
    </w:rPr>
  </w:style>
  <w:style w:type="paragraph" w:styleId="ListParagraph">
    <w:name w:val="List Paragraph"/>
    <w:aliases w:val="References,Bullet 1,Paragraphe de liste1,List Paragraph1,Liste couleur - Accent 11,Liste couleur - Accent 111,Grille claire - Accent 31,Liste couleur - Accent 112,Colorful List - Accent 11,List Paragraph2"/>
    <w:basedOn w:val="Normal"/>
    <w:link w:val="ListParagraphChar"/>
    <w:uiPriority w:val="34"/>
    <w:qFormat/>
    <w:rsid w:val="00093D9C"/>
    <w:pPr>
      <w:ind w:left="720"/>
      <w:contextualSpacing/>
    </w:pPr>
  </w:style>
  <w:style w:type="character" w:customStyle="1" w:styleId="ListParagraphChar">
    <w:name w:val="List Paragraph Char"/>
    <w:aliases w:val="References Char,Bullet 1 Char,Paragraphe de liste1 Char,List Paragraph1 Char,Liste couleur - Accent 11 Char,Liste couleur - Accent 111 Char,Grille claire - Accent 31 Char,Liste couleur - Accent 112 Char,Colorful List - Accent 11 Char"/>
    <w:basedOn w:val="DefaultParagraphFont"/>
    <w:link w:val="ListParagraph"/>
    <w:uiPriority w:val="34"/>
    <w:locked/>
    <w:rsid w:val="00F65E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DA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0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05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32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2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20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20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A03E3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81B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t">
    <w:name w:val="st"/>
    <w:basedOn w:val="DefaultParagraphFont"/>
    <w:rsid w:val="007C48E1"/>
  </w:style>
  <w:style w:type="character" w:styleId="Emphasis">
    <w:name w:val="Emphasis"/>
    <w:basedOn w:val="DefaultParagraphFont"/>
    <w:uiPriority w:val="20"/>
    <w:qFormat/>
    <w:rsid w:val="007C48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cbi.nlm.nih.gov/pmc/articles/PMC454750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837D7-99A9-4652-81FB-D4E85316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Cristina Celan</cp:lastModifiedBy>
  <cp:revision>9</cp:revision>
  <dcterms:created xsi:type="dcterms:W3CDTF">2020-06-16T16:36:00Z</dcterms:created>
  <dcterms:modified xsi:type="dcterms:W3CDTF">2020-06-17T08:18:00Z</dcterms:modified>
</cp:coreProperties>
</file>